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DB4F5" w14:textId="727EB178" w:rsidR="00656F61" w:rsidRDefault="00656F61" w:rsidP="00656F61">
      <w:pPr>
        <w:spacing w:after="480"/>
      </w:pPr>
      <w:r>
        <w:rPr>
          <w:noProof/>
        </w:rPr>
        <w:drawing>
          <wp:inline distT="0" distB="0" distL="0" distR="0" wp14:anchorId="1452CB20" wp14:editId="47475999">
            <wp:extent cx="2009775" cy="495935"/>
            <wp:effectExtent l="0" t="0" r="9525" b="0"/>
            <wp:docPr id="1" name="Picture 1"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656F61" w14:paraId="2863E43B" w14:textId="77777777" w:rsidTr="00656F61">
        <w:trPr>
          <w:tblHeader/>
        </w:trPr>
        <w:tc>
          <w:tcPr>
            <w:tcW w:w="3397" w:type="dxa"/>
            <w:tcBorders>
              <w:bottom w:val="single" w:sz="18" w:space="0" w:color="auto"/>
            </w:tcBorders>
          </w:tcPr>
          <w:p w14:paraId="3B93EF86" w14:textId="77777777" w:rsidR="00656F61" w:rsidRPr="00B805DB" w:rsidRDefault="00656F61" w:rsidP="00EE10DA">
            <w:pPr>
              <w:pStyle w:val="Heading1"/>
              <w:spacing w:after="240"/>
              <w:outlineLvl w:val="0"/>
            </w:pPr>
            <w:r>
              <w:t>Report f</w:t>
            </w:r>
            <w:r w:rsidRPr="00C869F3">
              <w:t>or:</w:t>
            </w:r>
          </w:p>
        </w:tc>
        <w:tc>
          <w:tcPr>
            <w:tcW w:w="4912" w:type="dxa"/>
            <w:tcBorders>
              <w:bottom w:val="single" w:sz="18" w:space="0" w:color="auto"/>
            </w:tcBorders>
          </w:tcPr>
          <w:p w14:paraId="3558BD53" w14:textId="77777777" w:rsidR="00656F61" w:rsidRPr="005E3A10" w:rsidRDefault="00656F61" w:rsidP="00EE10DA">
            <w:pPr>
              <w:pStyle w:val="Heading1"/>
              <w:outlineLvl w:val="0"/>
              <w:rPr>
                <w:szCs w:val="24"/>
              </w:rPr>
            </w:pPr>
            <w:r w:rsidRPr="005E3A10">
              <w:t>Cabinet</w:t>
            </w:r>
          </w:p>
        </w:tc>
      </w:tr>
      <w:tr w:rsidR="00656F61" w14:paraId="5B97B29D" w14:textId="77777777" w:rsidTr="00656F61">
        <w:tc>
          <w:tcPr>
            <w:tcW w:w="3397" w:type="dxa"/>
            <w:tcBorders>
              <w:top w:val="single" w:sz="18" w:space="0" w:color="auto"/>
            </w:tcBorders>
          </w:tcPr>
          <w:p w14:paraId="1B37856D" w14:textId="77777777" w:rsidR="00656F61" w:rsidRPr="00C13A5F" w:rsidRDefault="00656F61" w:rsidP="00EE10DA">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4912" w:type="dxa"/>
            <w:tcBorders>
              <w:top w:val="single" w:sz="18" w:space="0" w:color="auto"/>
            </w:tcBorders>
          </w:tcPr>
          <w:p w14:paraId="3C065FD8" w14:textId="010130B2" w:rsidR="00656F61" w:rsidRPr="005E3A10" w:rsidRDefault="00656F61" w:rsidP="00EE10DA">
            <w:pPr>
              <w:rPr>
                <w:rFonts w:cs="Arial"/>
                <w:szCs w:val="24"/>
              </w:rPr>
            </w:pPr>
            <w:r>
              <w:rPr>
                <w:rFonts w:cs="Arial"/>
                <w:szCs w:val="24"/>
              </w:rPr>
              <w:t>23 June 2022</w:t>
            </w:r>
          </w:p>
        </w:tc>
      </w:tr>
      <w:tr w:rsidR="00656F61" w14:paraId="4202449F" w14:textId="77777777" w:rsidTr="00656F61">
        <w:tc>
          <w:tcPr>
            <w:tcW w:w="3397" w:type="dxa"/>
          </w:tcPr>
          <w:p w14:paraId="65AC265F" w14:textId="77777777" w:rsidR="00656F61" w:rsidRPr="00C13A5F" w:rsidRDefault="00656F61" w:rsidP="00656F61">
            <w:pPr>
              <w:pStyle w:val="Infotext"/>
              <w:spacing w:after="240"/>
              <w:rPr>
                <w:rFonts w:ascii="Arial Black" w:hAnsi="Arial Black"/>
              </w:rPr>
            </w:pPr>
            <w:r w:rsidRPr="00C13A5F">
              <w:rPr>
                <w:rFonts w:ascii="Arial Black" w:hAnsi="Arial Black" w:cs="Arial"/>
              </w:rPr>
              <w:t>Subject:</w:t>
            </w:r>
          </w:p>
        </w:tc>
        <w:tc>
          <w:tcPr>
            <w:tcW w:w="4912" w:type="dxa"/>
          </w:tcPr>
          <w:p w14:paraId="49A8B624" w14:textId="77777777" w:rsidR="00656F61" w:rsidRDefault="00656F61" w:rsidP="00656F61">
            <w:pPr>
              <w:rPr>
                <w:rFonts w:cs="Arial"/>
                <w:color w:val="000000"/>
                <w:szCs w:val="24"/>
              </w:rPr>
            </w:pPr>
            <w:r>
              <w:rPr>
                <w:rFonts w:cs="Arial"/>
                <w:color w:val="000000"/>
                <w:szCs w:val="24"/>
              </w:rPr>
              <w:t xml:space="preserve">Discretionary </w:t>
            </w:r>
            <w:r>
              <w:t xml:space="preserve">COVID19 Additional Relief Fund (CARF) </w:t>
            </w:r>
            <w:r>
              <w:rPr>
                <w:rFonts w:cs="Arial"/>
                <w:color w:val="000000"/>
                <w:szCs w:val="24"/>
              </w:rPr>
              <w:t>scheme for Business Rates for period 1/4/21 to 31/3/2022 only</w:t>
            </w:r>
          </w:p>
          <w:p w14:paraId="1848F596" w14:textId="25B5C73A" w:rsidR="00656F61" w:rsidRPr="005E3A10" w:rsidRDefault="00656F61" w:rsidP="00656F61">
            <w:pPr>
              <w:rPr>
                <w:rFonts w:cs="Arial"/>
                <w:szCs w:val="24"/>
              </w:rPr>
            </w:pPr>
          </w:p>
        </w:tc>
      </w:tr>
      <w:tr w:rsidR="00656F61" w14:paraId="6E935522" w14:textId="77777777" w:rsidTr="00656F61">
        <w:tc>
          <w:tcPr>
            <w:tcW w:w="3397" w:type="dxa"/>
          </w:tcPr>
          <w:p w14:paraId="6C0F6C63" w14:textId="77777777" w:rsidR="00656F61" w:rsidRPr="00C13A5F" w:rsidRDefault="00656F61" w:rsidP="00656F61">
            <w:pPr>
              <w:pStyle w:val="Infotext"/>
              <w:spacing w:after="240"/>
              <w:rPr>
                <w:rFonts w:ascii="Arial Black" w:hAnsi="Arial Black" w:cs="Arial"/>
              </w:rPr>
            </w:pPr>
            <w:r w:rsidRPr="00C13A5F">
              <w:rPr>
                <w:rFonts w:ascii="Arial Black" w:hAnsi="Arial Black" w:cs="Arial"/>
              </w:rPr>
              <w:t>Key Decision:</w:t>
            </w:r>
          </w:p>
        </w:tc>
        <w:tc>
          <w:tcPr>
            <w:tcW w:w="4912" w:type="dxa"/>
          </w:tcPr>
          <w:p w14:paraId="6410AB95" w14:textId="54426049" w:rsidR="00656F61" w:rsidRPr="005E3A10" w:rsidRDefault="00656F61" w:rsidP="00656F61">
            <w:pPr>
              <w:pStyle w:val="Infotext"/>
              <w:rPr>
                <w:rFonts w:cs="Arial"/>
                <w:szCs w:val="24"/>
              </w:rPr>
            </w:pPr>
            <w:r w:rsidRPr="005E3A10">
              <w:rPr>
                <w:rFonts w:cs="Arial"/>
                <w:sz w:val="24"/>
                <w:szCs w:val="24"/>
              </w:rPr>
              <w:t xml:space="preserve">Yes </w:t>
            </w:r>
          </w:p>
        </w:tc>
      </w:tr>
      <w:tr w:rsidR="00656F61" w14:paraId="46500A47" w14:textId="77777777" w:rsidTr="00656F61">
        <w:tc>
          <w:tcPr>
            <w:tcW w:w="3397" w:type="dxa"/>
          </w:tcPr>
          <w:p w14:paraId="2535E9AC" w14:textId="77777777" w:rsidR="00656F61" w:rsidRPr="00C13A5F" w:rsidRDefault="00656F61" w:rsidP="00656F61">
            <w:pPr>
              <w:pStyle w:val="Infotext"/>
              <w:spacing w:after="240"/>
              <w:rPr>
                <w:rFonts w:ascii="Arial Black" w:hAnsi="Arial Black" w:cs="Arial"/>
              </w:rPr>
            </w:pPr>
            <w:r w:rsidRPr="00C13A5F">
              <w:rPr>
                <w:rFonts w:ascii="Arial Black" w:hAnsi="Arial Black" w:cs="Arial"/>
              </w:rPr>
              <w:t>Responsible Officer:</w:t>
            </w:r>
          </w:p>
        </w:tc>
        <w:tc>
          <w:tcPr>
            <w:tcW w:w="4912" w:type="dxa"/>
          </w:tcPr>
          <w:p w14:paraId="1174A976" w14:textId="7536194C" w:rsidR="00656F61" w:rsidRPr="00A961E8" w:rsidRDefault="00656F61" w:rsidP="00656F61">
            <w:pPr>
              <w:rPr>
                <w:bCs/>
                <w:szCs w:val="24"/>
              </w:rPr>
            </w:pPr>
            <w:r>
              <w:rPr>
                <w:bCs/>
                <w:szCs w:val="24"/>
              </w:rPr>
              <w:t>Dawn Calvert</w:t>
            </w:r>
            <w:r>
              <w:rPr>
                <w:bCs/>
                <w:szCs w:val="24"/>
              </w:rPr>
              <w:t xml:space="preserve"> - </w:t>
            </w:r>
            <w:r w:rsidRPr="00A961E8">
              <w:rPr>
                <w:bCs/>
                <w:szCs w:val="24"/>
              </w:rPr>
              <w:t>Director of Finance</w:t>
            </w:r>
            <w:r>
              <w:rPr>
                <w:bCs/>
                <w:szCs w:val="24"/>
              </w:rPr>
              <w:t>, Resources Directorate</w:t>
            </w:r>
          </w:p>
          <w:p w14:paraId="0B18826B" w14:textId="77777777" w:rsidR="00656F61" w:rsidRPr="005E3A10" w:rsidRDefault="00656F61" w:rsidP="00656F61">
            <w:pPr>
              <w:pStyle w:val="Infotext"/>
              <w:rPr>
                <w:rFonts w:cs="Arial"/>
                <w:sz w:val="24"/>
                <w:szCs w:val="24"/>
              </w:rPr>
            </w:pPr>
          </w:p>
        </w:tc>
      </w:tr>
      <w:tr w:rsidR="00656F61" w14:paraId="667A0482" w14:textId="77777777" w:rsidTr="00656F61">
        <w:tc>
          <w:tcPr>
            <w:tcW w:w="3397" w:type="dxa"/>
          </w:tcPr>
          <w:p w14:paraId="07A7239B" w14:textId="77777777" w:rsidR="00656F61" w:rsidRPr="00C13A5F" w:rsidRDefault="00656F61" w:rsidP="00656F61">
            <w:pPr>
              <w:pStyle w:val="Infotext"/>
              <w:spacing w:after="240"/>
              <w:rPr>
                <w:rFonts w:ascii="Arial Black" w:hAnsi="Arial Black"/>
              </w:rPr>
            </w:pPr>
            <w:r w:rsidRPr="00DB6C3D">
              <w:rPr>
                <w:rFonts w:ascii="Arial Black" w:hAnsi="Arial Black"/>
              </w:rPr>
              <w:t>Portfolio Holder:</w:t>
            </w:r>
          </w:p>
        </w:tc>
        <w:tc>
          <w:tcPr>
            <w:tcW w:w="4912" w:type="dxa"/>
          </w:tcPr>
          <w:p w14:paraId="11CBA295" w14:textId="0C577913" w:rsidR="00656F61" w:rsidRPr="00DC7FD5" w:rsidRDefault="00656F61" w:rsidP="00656F61">
            <w:pPr>
              <w:pStyle w:val="Infotext"/>
              <w:rPr>
                <w:rFonts w:cs="Arial"/>
                <w:sz w:val="24"/>
                <w:szCs w:val="24"/>
              </w:rPr>
            </w:pPr>
            <w:r>
              <w:rPr>
                <w:sz w:val="24"/>
                <w:szCs w:val="24"/>
              </w:rPr>
              <w:t xml:space="preserve">Councillor </w:t>
            </w:r>
            <w:r>
              <w:rPr>
                <w:sz w:val="24"/>
                <w:szCs w:val="24"/>
              </w:rPr>
              <w:t>David Ashton –</w:t>
            </w:r>
            <w:r w:rsidRPr="00DC7FD5">
              <w:rPr>
                <w:sz w:val="24"/>
                <w:szCs w:val="24"/>
              </w:rPr>
              <w:t xml:space="preserve"> </w:t>
            </w:r>
            <w:r>
              <w:rPr>
                <w:sz w:val="24"/>
                <w:szCs w:val="24"/>
              </w:rPr>
              <w:t xml:space="preserve">Portfolio Holder for </w:t>
            </w:r>
            <w:r w:rsidRPr="00DC7FD5">
              <w:rPr>
                <w:sz w:val="24"/>
                <w:szCs w:val="24"/>
              </w:rPr>
              <w:t>Finance</w:t>
            </w:r>
            <w:r>
              <w:rPr>
                <w:sz w:val="24"/>
                <w:szCs w:val="24"/>
              </w:rPr>
              <w:t xml:space="preserve"> &amp; </w:t>
            </w:r>
            <w:r>
              <w:rPr>
                <w:sz w:val="24"/>
                <w:szCs w:val="24"/>
              </w:rPr>
              <w:t>Human Resources</w:t>
            </w:r>
          </w:p>
          <w:p w14:paraId="52D8E946" w14:textId="2E586FF4" w:rsidR="00656F61" w:rsidRPr="005E3A10" w:rsidRDefault="00656F61" w:rsidP="00656F61">
            <w:pPr>
              <w:pStyle w:val="Infotext"/>
              <w:rPr>
                <w:rFonts w:cs="Arial"/>
                <w:color w:val="FF0000"/>
                <w:sz w:val="24"/>
                <w:szCs w:val="24"/>
              </w:rPr>
            </w:pPr>
          </w:p>
        </w:tc>
      </w:tr>
      <w:tr w:rsidR="00656F61" w14:paraId="3CC49C2D" w14:textId="77777777" w:rsidTr="00656F61">
        <w:tc>
          <w:tcPr>
            <w:tcW w:w="3397" w:type="dxa"/>
          </w:tcPr>
          <w:p w14:paraId="720BE682" w14:textId="77777777" w:rsidR="00656F61" w:rsidRPr="00C13A5F" w:rsidRDefault="00656F61" w:rsidP="00656F61">
            <w:pPr>
              <w:pStyle w:val="Infotext"/>
              <w:spacing w:after="240"/>
              <w:rPr>
                <w:rFonts w:ascii="Arial Black" w:hAnsi="Arial Black"/>
              </w:rPr>
            </w:pPr>
            <w:r w:rsidRPr="00DB6C3D">
              <w:rPr>
                <w:rFonts w:ascii="Arial Black" w:hAnsi="Arial Black"/>
              </w:rPr>
              <w:t>Exempt:</w:t>
            </w:r>
          </w:p>
        </w:tc>
        <w:tc>
          <w:tcPr>
            <w:tcW w:w="4912" w:type="dxa"/>
          </w:tcPr>
          <w:p w14:paraId="4D971006" w14:textId="12CC843A" w:rsidR="00656F61" w:rsidRPr="005E3A10" w:rsidRDefault="00656F61" w:rsidP="00656F61">
            <w:pPr>
              <w:pStyle w:val="Infotext"/>
              <w:rPr>
                <w:rFonts w:cs="Arial"/>
                <w:sz w:val="24"/>
                <w:szCs w:val="24"/>
              </w:rPr>
            </w:pPr>
            <w:r w:rsidRPr="005E3A10">
              <w:rPr>
                <w:rFonts w:cs="Arial"/>
                <w:sz w:val="24"/>
                <w:szCs w:val="24"/>
              </w:rPr>
              <w:t>No</w:t>
            </w:r>
          </w:p>
          <w:p w14:paraId="57AA567B" w14:textId="77777777" w:rsidR="00656F61" w:rsidRPr="005E3A10" w:rsidRDefault="00656F61" w:rsidP="00656F61">
            <w:pPr>
              <w:pStyle w:val="Infotext"/>
              <w:rPr>
                <w:rFonts w:cs="Arial"/>
                <w:color w:val="FF0000"/>
                <w:sz w:val="24"/>
                <w:szCs w:val="24"/>
              </w:rPr>
            </w:pPr>
          </w:p>
        </w:tc>
      </w:tr>
      <w:tr w:rsidR="00656F61" w14:paraId="229C6F06" w14:textId="77777777" w:rsidTr="00656F61">
        <w:tc>
          <w:tcPr>
            <w:tcW w:w="3397" w:type="dxa"/>
          </w:tcPr>
          <w:p w14:paraId="5DA84EFA" w14:textId="77777777" w:rsidR="00656F61" w:rsidRPr="00C13A5F" w:rsidRDefault="00656F61" w:rsidP="00656F61">
            <w:pPr>
              <w:pStyle w:val="Infotext"/>
              <w:spacing w:after="240"/>
              <w:rPr>
                <w:rFonts w:ascii="Arial Black" w:hAnsi="Arial Black"/>
              </w:rPr>
            </w:pPr>
            <w:r w:rsidRPr="00DB6C3D">
              <w:rPr>
                <w:rFonts w:ascii="Arial Black" w:hAnsi="Arial Black"/>
              </w:rPr>
              <w:t>Decision subject to Call-in:</w:t>
            </w:r>
          </w:p>
        </w:tc>
        <w:tc>
          <w:tcPr>
            <w:tcW w:w="4912" w:type="dxa"/>
          </w:tcPr>
          <w:p w14:paraId="6E392DBC" w14:textId="4AF972FF" w:rsidR="00656F61" w:rsidRPr="005E3A10" w:rsidRDefault="00656F61" w:rsidP="00656F61">
            <w:pPr>
              <w:pStyle w:val="Infotext"/>
              <w:rPr>
                <w:rFonts w:cs="Arial"/>
                <w:szCs w:val="24"/>
              </w:rPr>
            </w:pPr>
            <w:r w:rsidRPr="005E3A10">
              <w:rPr>
                <w:rFonts w:cs="Arial"/>
                <w:sz w:val="24"/>
                <w:szCs w:val="24"/>
              </w:rPr>
              <w:t xml:space="preserve">Yes </w:t>
            </w:r>
          </w:p>
        </w:tc>
      </w:tr>
      <w:tr w:rsidR="00656F61" w14:paraId="0AA3B9C8" w14:textId="77777777" w:rsidTr="00656F61">
        <w:tc>
          <w:tcPr>
            <w:tcW w:w="3397" w:type="dxa"/>
          </w:tcPr>
          <w:p w14:paraId="665BF80B" w14:textId="77777777" w:rsidR="00656F61" w:rsidRPr="00C13A5F" w:rsidRDefault="00656F61" w:rsidP="00656F61">
            <w:pPr>
              <w:pStyle w:val="Infotext"/>
              <w:spacing w:after="240"/>
              <w:rPr>
                <w:rFonts w:ascii="Arial Black" w:hAnsi="Arial Black" w:cs="Arial"/>
              </w:rPr>
            </w:pPr>
            <w:r>
              <w:rPr>
                <w:rFonts w:ascii="Arial Black" w:hAnsi="Arial Black" w:cs="Arial"/>
              </w:rPr>
              <w:t>Wards affected:</w:t>
            </w:r>
          </w:p>
        </w:tc>
        <w:tc>
          <w:tcPr>
            <w:tcW w:w="4912" w:type="dxa"/>
          </w:tcPr>
          <w:p w14:paraId="64E04429" w14:textId="4C5C32D8" w:rsidR="00656F61" w:rsidRPr="00307F76" w:rsidRDefault="00656F61" w:rsidP="00656F61">
            <w:pPr>
              <w:rPr>
                <w:rFonts w:cs="Arial"/>
                <w:b/>
                <w:color w:val="FF0000"/>
                <w:szCs w:val="24"/>
              </w:rPr>
            </w:pPr>
            <w:r>
              <w:rPr>
                <w:rFonts w:cs="Arial"/>
                <w:szCs w:val="24"/>
              </w:rPr>
              <w:t>All</w:t>
            </w:r>
          </w:p>
        </w:tc>
      </w:tr>
      <w:tr w:rsidR="00656F61" w14:paraId="7171F2DD" w14:textId="77777777" w:rsidTr="00656F61">
        <w:tc>
          <w:tcPr>
            <w:tcW w:w="3397" w:type="dxa"/>
          </w:tcPr>
          <w:p w14:paraId="461ADBD0" w14:textId="77777777" w:rsidR="00656F61" w:rsidRPr="00C13A5F" w:rsidRDefault="00656F61" w:rsidP="00656F61">
            <w:pPr>
              <w:pStyle w:val="Infotext"/>
              <w:spacing w:after="240"/>
              <w:rPr>
                <w:rFonts w:ascii="Arial Black" w:hAnsi="Arial Black" w:cs="Arial"/>
              </w:rPr>
            </w:pPr>
            <w:r w:rsidRPr="00C13A5F">
              <w:rPr>
                <w:rFonts w:ascii="Arial Black" w:hAnsi="Arial Black" w:cs="Arial"/>
              </w:rPr>
              <w:t>Enclosures:</w:t>
            </w:r>
          </w:p>
        </w:tc>
        <w:tc>
          <w:tcPr>
            <w:tcW w:w="4912" w:type="dxa"/>
          </w:tcPr>
          <w:p w14:paraId="077BDBD6" w14:textId="77777777" w:rsidR="00656F61" w:rsidRDefault="00656F61" w:rsidP="00656F61">
            <w:pPr>
              <w:pStyle w:val="Infotext"/>
              <w:rPr>
                <w:rFonts w:cs="Arial"/>
                <w:sz w:val="24"/>
                <w:szCs w:val="24"/>
              </w:rPr>
            </w:pPr>
            <w:r>
              <w:rPr>
                <w:rFonts w:cs="Arial"/>
                <w:sz w:val="24"/>
                <w:szCs w:val="24"/>
              </w:rPr>
              <w:t>Appendix 1 - CARF Policy</w:t>
            </w:r>
          </w:p>
          <w:p w14:paraId="35AD5352" w14:textId="77777777" w:rsidR="00656F61" w:rsidRDefault="00656F61" w:rsidP="00656F61">
            <w:pPr>
              <w:pStyle w:val="Infotext"/>
              <w:rPr>
                <w:rFonts w:cs="Arial"/>
                <w:sz w:val="24"/>
                <w:szCs w:val="24"/>
              </w:rPr>
            </w:pPr>
            <w:r>
              <w:rPr>
                <w:rFonts w:cs="Arial"/>
                <w:sz w:val="24"/>
                <w:szCs w:val="24"/>
              </w:rPr>
              <w:t xml:space="preserve">Appendix 2 – </w:t>
            </w:r>
            <w:proofErr w:type="spellStart"/>
            <w:r>
              <w:rPr>
                <w:rFonts w:cs="Arial"/>
                <w:sz w:val="24"/>
                <w:szCs w:val="24"/>
              </w:rPr>
              <w:t>EqIA</w:t>
            </w:r>
            <w:proofErr w:type="spellEnd"/>
          </w:p>
          <w:p w14:paraId="45FC0C55" w14:textId="55623B91" w:rsidR="00656F61" w:rsidRPr="005E3A10" w:rsidRDefault="00656F61" w:rsidP="00656F61">
            <w:pPr>
              <w:pStyle w:val="Infotext"/>
              <w:rPr>
                <w:color w:val="FF0000"/>
                <w:sz w:val="24"/>
                <w:szCs w:val="24"/>
              </w:rPr>
            </w:pPr>
            <w:r w:rsidRPr="00643E10">
              <w:rPr>
                <w:rFonts w:cs="Arial"/>
                <w:sz w:val="24"/>
                <w:szCs w:val="24"/>
              </w:rPr>
              <w:t>Appendix 3 – Government Guidance</w:t>
            </w:r>
          </w:p>
        </w:tc>
      </w:tr>
    </w:tbl>
    <w:p w14:paraId="58766E98" w14:textId="3B7F0E42" w:rsidR="00656F61" w:rsidRDefault="00656F61"/>
    <w:p w14:paraId="2FA31E31" w14:textId="5A4CBFDC" w:rsidR="00333FAA" w:rsidRDefault="00333FAA" w:rsidP="00333FAA">
      <w:pPr>
        <w:rPr>
          <w:rFonts w:cs="Arial"/>
        </w:rPr>
      </w:pPr>
    </w:p>
    <w:p w14:paraId="4D6942EC" w14:textId="5A393611" w:rsidR="00656F61" w:rsidRDefault="00656F61" w:rsidP="00333FAA">
      <w:pPr>
        <w:rPr>
          <w:rFonts w:cs="Arial"/>
        </w:rPr>
      </w:pPr>
    </w:p>
    <w:p w14:paraId="5FDC1E50" w14:textId="1A83D1BC" w:rsidR="00656F61" w:rsidRDefault="00656F61" w:rsidP="00333FAA">
      <w:pPr>
        <w:rPr>
          <w:rFonts w:cs="Arial"/>
        </w:rPr>
      </w:pPr>
    </w:p>
    <w:p w14:paraId="4E11D7A3" w14:textId="1D8A66DA" w:rsidR="00656F61" w:rsidRDefault="00656F61" w:rsidP="00333FAA">
      <w:pPr>
        <w:rPr>
          <w:rFonts w:cs="Arial"/>
        </w:rPr>
      </w:pPr>
    </w:p>
    <w:p w14:paraId="61987C7B" w14:textId="31EC58DF" w:rsidR="00656F61" w:rsidRDefault="00656F61" w:rsidP="00333FAA">
      <w:pPr>
        <w:rPr>
          <w:rFonts w:cs="Arial"/>
        </w:rPr>
      </w:pPr>
    </w:p>
    <w:p w14:paraId="531A22DA" w14:textId="2CB7D5BF" w:rsidR="00656F61" w:rsidRDefault="00656F61" w:rsidP="00333FAA">
      <w:pPr>
        <w:rPr>
          <w:rFonts w:cs="Arial"/>
        </w:rPr>
      </w:pPr>
    </w:p>
    <w:p w14:paraId="238FBDFB" w14:textId="5C78057F" w:rsidR="00656F61" w:rsidRDefault="00656F61" w:rsidP="00333FAA">
      <w:pPr>
        <w:rPr>
          <w:rFonts w:cs="Arial"/>
        </w:rPr>
      </w:pPr>
    </w:p>
    <w:p w14:paraId="0377C5A3" w14:textId="24E5B24B" w:rsidR="00656F61" w:rsidRDefault="00656F61" w:rsidP="00333FAA">
      <w:pPr>
        <w:rPr>
          <w:rFonts w:cs="Arial"/>
        </w:rPr>
      </w:pPr>
    </w:p>
    <w:p w14:paraId="1AF5A3F1" w14:textId="5C9F0CF8" w:rsidR="00656F61" w:rsidRDefault="00656F61" w:rsidP="00333FAA">
      <w:pPr>
        <w:rPr>
          <w:rFonts w:cs="Arial"/>
        </w:rPr>
      </w:pPr>
    </w:p>
    <w:p w14:paraId="5CC17DAE" w14:textId="05FF5228" w:rsidR="00656F61" w:rsidRDefault="00656F61" w:rsidP="00333FAA">
      <w:pPr>
        <w:rPr>
          <w:rFonts w:cs="Arial"/>
        </w:rPr>
      </w:pPr>
    </w:p>
    <w:p w14:paraId="2EFF891F" w14:textId="1C3C33C5" w:rsidR="00656F61" w:rsidRDefault="00656F61" w:rsidP="00333FAA">
      <w:pPr>
        <w:rPr>
          <w:rFonts w:cs="Arial"/>
        </w:rPr>
      </w:pPr>
    </w:p>
    <w:p w14:paraId="4C9AC74F" w14:textId="68DD0B1F" w:rsidR="00656F61" w:rsidRDefault="00656F61" w:rsidP="00333FAA">
      <w:pPr>
        <w:rPr>
          <w:rFonts w:cs="Arial"/>
        </w:rPr>
      </w:pPr>
    </w:p>
    <w:p w14:paraId="030093E9" w14:textId="4836F77C" w:rsidR="00656F61" w:rsidRDefault="00656F61" w:rsidP="00333FAA">
      <w:pPr>
        <w:rPr>
          <w:rFonts w:cs="Arial"/>
        </w:rPr>
      </w:pPr>
    </w:p>
    <w:p w14:paraId="7FC11F78" w14:textId="2EE1441E" w:rsidR="00656F61" w:rsidRDefault="00656F61" w:rsidP="00333FAA">
      <w:pPr>
        <w:rPr>
          <w:rFonts w:cs="Arial"/>
        </w:rPr>
      </w:pPr>
    </w:p>
    <w:p w14:paraId="12FF00C1" w14:textId="5BCC9506" w:rsidR="00656F61" w:rsidRDefault="00656F61" w:rsidP="00333FAA">
      <w:pPr>
        <w:rPr>
          <w:rFonts w:cs="Arial"/>
        </w:rPr>
      </w:pPr>
    </w:p>
    <w:p w14:paraId="527DE7C3" w14:textId="433102D9" w:rsidR="00656F61" w:rsidRDefault="00656F61" w:rsidP="00333FAA">
      <w:pPr>
        <w:rPr>
          <w:rFonts w:cs="Arial"/>
        </w:rPr>
      </w:pPr>
    </w:p>
    <w:p w14:paraId="4A4724F6" w14:textId="77777777" w:rsidR="00656F61" w:rsidRDefault="00656F61" w:rsidP="00333FAA">
      <w:pPr>
        <w:rPr>
          <w:rFonts w:cs="Arial"/>
        </w:rPr>
      </w:pPr>
    </w:p>
    <w:p w14:paraId="2FA31E32" w14:textId="77777777"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333FAA" w14:paraId="2FA31E35" w14:textId="77777777">
        <w:tc>
          <w:tcPr>
            <w:tcW w:w="8525" w:type="dxa"/>
            <w:tcBorders>
              <w:top w:val="nil"/>
              <w:left w:val="nil"/>
              <w:right w:val="nil"/>
            </w:tcBorders>
          </w:tcPr>
          <w:p w14:paraId="2FA31E33" w14:textId="77777777" w:rsidR="00333FAA" w:rsidRDefault="00333FAA" w:rsidP="00A53B04">
            <w:pPr>
              <w:pStyle w:val="Heading1"/>
            </w:pPr>
            <w:r>
              <w:lastRenderedPageBreak/>
              <w:t>Section 1 – Summary and Recommendations</w:t>
            </w:r>
          </w:p>
          <w:p w14:paraId="2FA31E34" w14:textId="77777777" w:rsidR="00333FAA" w:rsidRDefault="00333FAA" w:rsidP="00A53B04"/>
        </w:tc>
      </w:tr>
      <w:tr w:rsidR="00333FAA" w14:paraId="2FA31E4D" w14:textId="77777777">
        <w:tc>
          <w:tcPr>
            <w:tcW w:w="8525" w:type="dxa"/>
          </w:tcPr>
          <w:p w14:paraId="5B4C16AE" w14:textId="413EF4D9" w:rsidR="00C7460D" w:rsidRDefault="00C7460D" w:rsidP="00C7460D">
            <w:r>
              <w:t xml:space="preserve">To introduce </w:t>
            </w:r>
            <w:r w:rsidR="00B25611">
              <w:t>the COVID19</w:t>
            </w:r>
            <w:r w:rsidR="00A5658A">
              <w:t xml:space="preserve"> Additional Relief Fund (CARF)</w:t>
            </w:r>
            <w:r>
              <w:t xml:space="preserve"> for the financial year 202</w:t>
            </w:r>
            <w:r w:rsidR="00090C23">
              <w:t>1</w:t>
            </w:r>
            <w:r>
              <w:t>/2</w:t>
            </w:r>
            <w:r w:rsidR="00090C23">
              <w:t>2</w:t>
            </w:r>
            <w:r w:rsidR="00656F61">
              <w:t>.</w:t>
            </w:r>
          </w:p>
          <w:p w14:paraId="110F09A0" w14:textId="77777777" w:rsidR="00C7460D" w:rsidRDefault="00C7460D" w:rsidP="00C7460D">
            <w:r>
              <w:t xml:space="preserve"> </w:t>
            </w:r>
          </w:p>
          <w:p w14:paraId="53E0C971" w14:textId="45532373" w:rsidR="008E70EA" w:rsidRDefault="00C7460D" w:rsidP="00656F61">
            <w:r w:rsidRPr="00063CA2">
              <w:t xml:space="preserve">The Government announced </w:t>
            </w:r>
            <w:r w:rsidR="008E70EA" w:rsidRPr="008E70EA">
              <w:t>plans to provide an additional business rates support package, worth £1.5 billion, to support businesses in England affected by COVID-19 but not eligible for existing support linked to business rates. Harrow Council has received £3,172,759 in funding</w:t>
            </w:r>
          </w:p>
          <w:p w14:paraId="2623860E" w14:textId="77777777" w:rsidR="008E70EA" w:rsidRDefault="008E70EA" w:rsidP="00656F61"/>
          <w:p w14:paraId="5A8147D4" w14:textId="5BE05FB3" w:rsidR="00441BA1" w:rsidRDefault="005677CD" w:rsidP="00656F61">
            <w:r>
              <w:t xml:space="preserve">This relief </w:t>
            </w:r>
            <w:r w:rsidR="00BD0D18">
              <w:t>is specifically for traders who were not eligible to apply for business rates grants</w:t>
            </w:r>
            <w:r w:rsidR="005C5B53">
              <w:t xml:space="preserve"> / specific reliefs</w:t>
            </w:r>
            <w:r w:rsidR="008C0211">
              <w:t xml:space="preserve"> in 202</w:t>
            </w:r>
            <w:r w:rsidR="00897750">
              <w:t>0</w:t>
            </w:r>
            <w:r w:rsidR="008C0211">
              <w:t>/2</w:t>
            </w:r>
            <w:r w:rsidR="00897750">
              <w:t>1</w:t>
            </w:r>
            <w:r w:rsidR="008C0211">
              <w:t xml:space="preserve"> &amp; 2021/22, and where the description of the premises</w:t>
            </w:r>
            <w:r w:rsidR="00441BA1">
              <w:t xml:space="preserve"> sits within defined valuation office category (or SIC) codes.</w:t>
            </w:r>
          </w:p>
          <w:p w14:paraId="151BB8B7" w14:textId="77777777" w:rsidR="00441BA1" w:rsidRDefault="00441BA1" w:rsidP="00656F61"/>
          <w:p w14:paraId="08F0EEA2" w14:textId="123B1951" w:rsidR="00C7460D" w:rsidRPr="00BC4417" w:rsidRDefault="00C7460D" w:rsidP="00656F61">
            <w:pPr>
              <w:jc w:val="both"/>
              <w:rPr>
                <w:rFonts w:cs="Arial"/>
                <w:szCs w:val="24"/>
                <w:lang w:val="en" w:eastAsia="en-GB"/>
              </w:rPr>
            </w:pPr>
            <w:r w:rsidRPr="00BC4417">
              <w:t xml:space="preserve">The value of relief will be </w:t>
            </w:r>
            <w:r w:rsidR="00395F8C" w:rsidRPr="00BC4417">
              <w:t xml:space="preserve">a minimum of </w:t>
            </w:r>
            <w:r w:rsidR="002776B0" w:rsidRPr="00BC4417">
              <w:t>10</w:t>
            </w:r>
            <w:r w:rsidR="00ED5EBE" w:rsidRPr="00BC4417">
              <w:t>%</w:t>
            </w:r>
            <w:r w:rsidR="00320D28" w:rsidRPr="00BC4417">
              <w:t xml:space="preserve"> of the 202</w:t>
            </w:r>
            <w:r w:rsidR="00897750" w:rsidRPr="00BC4417">
              <w:t>1</w:t>
            </w:r>
            <w:r w:rsidR="00320D28" w:rsidRPr="00BC4417">
              <w:t>/2</w:t>
            </w:r>
            <w:r w:rsidR="00897750" w:rsidRPr="00BC4417">
              <w:t>2</w:t>
            </w:r>
            <w:r w:rsidR="00320D28" w:rsidRPr="00BC4417">
              <w:t xml:space="preserve"> business rates </w:t>
            </w:r>
            <w:r w:rsidRPr="00BC4417">
              <w:t>bill, after other reliefs are applied</w:t>
            </w:r>
            <w:r w:rsidR="00691501" w:rsidRPr="00BC4417">
              <w:t>. D</w:t>
            </w:r>
            <w:r w:rsidR="00C87D8F" w:rsidRPr="00BC4417">
              <w:t xml:space="preserve">epending on modelling </w:t>
            </w:r>
            <w:r w:rsidR="00691501" w:rsidRPr="00BC4417">
              <w:t xml:space="preserve">yet </w:t>
            </w:r>
            <w:r w:rsidR="00C87D8F" w:rsidRPr="00BC4417">
              <w:t>to be carried</w:t>
            </w:r>
            <w:r w:rsidR="00691501" w:rsidRPr="00BC4417">
              <w:t>, the minimum award may be increased</w:t>
            </w:r>
            <w:r w:rsidR="00FE6D7A" w:rsidRPr="00BC4417">
              <w:t xml:space="preserve"> (up to a maximum of 50%) once </w:t>
            </w:r>
            <w:r w:rsidR="000300FB" w:rsidRPr="00BC4417">
              <w:t xml:space="preserve">we understand the potential number of eligible businesses and the average annual </w:t>
            </w:r>
            <w:r w:rsidR="00BD59A2" w:rsidRPr="00BC4417">
              <w:t>business rates charge, which will allow us to award the maximum support possible and ensure</w:t>
            </w:r>
            <w:r w:rsidR="00BC4417" w:rsidRPr="00BC4417">
              <w:t xml:space="preserve"> the ove</w:t>
            </w:r>
            <w:r w:rsidR="00E25B1F" w:rsidRPr="00BC4417">
              <w:t xml:space="preserve">rall cost is </w:t>
            </w:r>
            <w:r w:rsidR="00756885" w:rsidRPr="00BC4417">
              <w:t>contained</w:t>
            </w:r>
            <w:r w:rsidR="00E25B1F" w:rsidRPr="00BC4417">
              <w:t xml:space="preserve"> within </w:t>
            </w:r>
            <w:r w:rsidR="00756885" w:rsidRPr="00BC4417">
              <w:t xml:space="preserve">the </w:t>
            </w:r>
            <w:r w:rsidR="00E25B1F" w:rsidRPr="00BC4417">
              <w:t>grant funds allocated</w:t>
            </w:r>
            <w:r w:rsidRPr="00BC4417">
              <w:t>.</w:t>
            </w:r>
          </w:p>
          <w:p w14:paraId="1DFF7679" w14:textId="77777777" w:rsidR="00C7460D" w:rsidRPr="00063CA2" w:rsidRDefault="00C7460D" w:rsidP="00656F61">
            <w:pPr>
              <w:rPr>
                <w:rFonts w:cs="Arial"/>
                <w:szCs w:val="24"/>
                <w:lang w:val="en" w:eastAsia="en-GB"/>
              </w:rPr>
            </w:pPr>
          </w:p>
          <w:p w14:paraId="6C70CD95" w14:textId="1EACE30A" w:rsidR="00C7460D" w:rsidRDefault="00C7460D" w:rsidP="00656F61">
            <w:r>
              <w:rPr>
                <w:rFonts w:cs="Arial"/>
                <w:szCs w:val="24"/>
                <w:lang w:eastAsia="en-GB"/>
              </w:rPr>
              <w:t xml:space="preserve">Government </w:t>
            </w:r>
            <w:r w:rsidRPr="00063CA2">
              <w:rPr>
                <w:rFonts w:cs="Arial"/>
                <w:szCs w:val="24"/>
                <w:lang w:eastAsia="en-GB"/>
              </w:rPr>
              <w:t>guidance</w:t>
            </w:r>
            <w:r>
              <w:rPr>
                <w:rFonts w:cs="Arial"/>
                <w:szCs w:val="24"/>
                <w:lang w:eastAsia="en-GB"/>
              </w:rPr>
              <w:t xml:space="preserve"> has been issued and</w:t>
            </w:r>
            <w:r w:rsidRPr="00063CA2">
              <w:rPr>
                <w:rFonts w:cs="Arial"/>
                <w:szCs w:val="24"/>
                <w:lang w:eastAsia="en-GB"/>
              </w:rPr>
              <w:t xml:space="preserve"> sets out the detailed criteria </w:t>
            </w:r>
            <w:r w:rsidRPr="001F6FEC">
              <w:rPr>
                <w:rFonts w:cs="Arial"/>
                <w:szCs w:val="24"/>
                <w:lang w:eastAsia="en-GB"/>
              </w:rPr>
              <w:t>that local authorities should</w:t>
            </w:r>
            <w:r w:rsidRPr="00063CA2">
              <w:rPr>
                <w:rFonts w:cs="Arial"/>
                <w:szCs w:val="24"/>
                <w:lang w:eastAsia="en-GB"/>
              </w:rPr>
              <w:t xml:space="preserve"> use to determine funding relief for </w:t>
            </w:r>
            <w:r w:rsidR="00802670">
              <w:rPr>
                <w:rFonts w:cs="Arial"/>
                <w:szCs w:val="24"/>
                <w:lang w:eastAsia="en-GB"/>
              </w:rPr>
              <w:t>eligible</w:t>
            </w:r>
            <w:r w:rsidRPr="00063CA2">
              <w:rPr>
                <w:rFonts w:cs="Arial"/>
                <w:szCs w:val="24"/>
                <w:lang w:eastAsia="en-GB"/>
              </w:rPr>
              <w:t xml:space="preserve"> properties. </w:t>
            </w:r>
            <w:r>
              <w:t>Harrow now wishes to exercise its discretion and adopt the attached policy, which has been modelled on the guidance issued, so it can support businesses in its area.</w:t>
            </w:r>
          </w:p>
          <w:p w14:paraId="3E8BADDD" w14:textId="77777777" w:rsidR="00C7460D" w:rsidRDefault="00C7460D" w:rsidP="00C7460D">
            <w:pPr>
              <w:ind w:left="720"/>
            </w:pPr>
          </w:p>
          <w:p w14:paraId="2C8AD114" w14:textId="77777777" w:rsidR="00DC113B" w:rsidRDefault="00DC113B" w:rsidP="00DC113B">
            <w:pPr>
              <w:pStyle w:val="Heading2"/>
            </w:pPr>
            <w:r>
              <w:t xml:space="preserve">Recommendations: </w:t>
            </w:r>
          </w:p>
          <w:p w14:paraId="6483AD4D" w14:textId="77777777" w:rsidR="00DC113B" w:rsidRDefault="00DC113B" w:rsidP="00DC113B">
            <w:r>
              <w:t>Cabinet is requested to:</w:t>
            </w:r>
          </w:p>
          <w:p w14:paraId="2A9C564A" w14:textId="77777777" w:rsidR="00DC113B" w:rsidRDefault="00DC113B" w:rsidP="00DC113B"/>
          <w:p w14:paraId="4AA71D43" w14:textId="5017B623" w:rsidR="00DC113B" w:rsidRDefault="00DC113B" w:rsidP="00ED1140">
            <w:pPr>
              <w:numPr>
                <w:ilvl w:val="0"/>
                <w:numId w:val="12"/>
              </w:numPr>
              <w:jc w:val="both"/>
            </w:pPr>
            <w:r>
              <w:t>Agree to adopt, for the year 202</w:t>
            </w:r>
            <w:r w:rsidR="00897750">
              <w:t>1</w:t>
            </w:r>
            <w:r>
              <w:t>/2</w:t>
            </w:r>
            <w:r w:rsidR="00897750">
              <w:t>2</w:t>
            </w:r>
            <w:r>
              <w:t>, the attached discretionary “</w:t>
            </w:r>
            <w:r w:rsidR="00802670">
              <w:t>CARF</w:t>
            </w:r>
            <w:r>
              <w:t xml:space="preserve"> Relief scheme” for business rate payers who</w:t>
            </w:r>
            <w:r w:rsidR="00C02676">
              <w:t xml:space="preserve"> </w:t>
            </w:r>
            <w:r w:rsidR="0045742D">
              <w:t>meet the proposed eligi</w:t>
            </w:r>
            <w:r w:rsidR="003B04D5">
              <w:t>bi</w:t>
            </w:r>
            <w:r w:rsidR="0045742D">
              <w:t>lity criteria</w:t>
            </w:r>
            <w:r>
              <w:t>.</w:t>
            </w:r>
          </w:p>
          <w:p w14:paraId="081A7F04" w14:textId="77777777" w:rsidR="00DC113B" w:rsidRDefault="00DC113B" w:rsidP="00DC113B">
            <w:pPr>
              <w:ind w:left="720"/>
            </w:pPr>
          </w:p>
          <w:p w14:paraId="7B87709A" w14:textId="3F61D083" w:rsidR="00DC113B" w:rsidRPr="00ED1140" w:rsidRDefault="00DC113B" w:rsidP="00ED1140">
            <w:pPr>
              <w:numPr>
                <w:ilvl w:val="0"/>
                <w:numId w:val="12"/>
              </w:numPr>
              <w:jc w:val="both"/>
            </w:pPr>
            <w:r w:rsidRPr="00ED1140">
              <w:t xml:space="preserve">To </w:t>
            </w:r>
            <w:r w:rsidR="003B04D5" w:rsidRPr="00ED1140">
              <w:t>agree</w:t>
            </w:r>
            <w:r w:rsidRPr="00ED1140">
              <w:t xml:space="preserve"> that the Director of </w:t>
            </w:r>
            <w:r w:rsidR="00BC4417" w:rsidRPr="00ED1140">
              <w:t>Finance</w:t>
            </w:r>
            <w:r w:rsidRPr="00ED1140">
              <w:t xml:space="preserve"> </w:t>
            </w:r>
            <w:r w:rsidR="003B04D5" w:rsidRPr="00ED1140">
              <w:t>may</w:t>
            </w:r>
            <w:r w:rsidRPr="00ED1140">
              <w:t xml:space="preserve"> exercise discretion under s47 of the Local Government Finance Act 1988, (as amended) (hereinafter “LGFA”)</w:t>
            </w:r>
            <w:r w:rsidR="009B23A2" w:rsidRPr="00ED1140">
              <w:t xml:space="preserve"> and in consultation with the Portfolio Holder for Finance &amp; </w:t>
            </w:r>
            <w:r w:rsidR="00C02676">
              <w:t>Performance</w:t>
            </w:r>
            <w:r w:rsidR="009B23A2" w:rsidRPr="00ED1140">
              <w:t>,</w:t>
            </w:r>
            <w:r w:rsidRPr="00ED1140">
              <w:t xml:space="preserve"> </w:t>
            </w:r>
            <w:proofErr w:type="gramStart"/>
            <w:r w:rsidRPr="00ED1140">
              <w:t>in order to</w:t>
            </w:r>
            <w:proofErr w:type="gramEnd"/>
            <w:r w:rsidRPr="00ED1140">
              <w:t xml:space="preserve"> operate the </w:t>
            </w:r>
            <w:r w:rsidR="00C87312" w:rsidRPr="00ED1140">
              <w:t xml:space="preserve">approved </w:t>
            </w:r>
            <w:r w:rsidRPr="00ED1140">
              <w:t>scheme</w:t>
            </w:r>
            <w:r w:rsidR="00A174D9" w:rsidRPr="00ED1140">
              <w:t xml:space="preserve"> and d</w:t>
            </w:r>
            <w:r w:rsidR="00A809BA">
              <w:t>etermine</w:t>
            </w:r>
            <w:r w:rsidR="00A174D9" w:rsidRPr="00ED1140">
              <w:t xml:space="preserve"> the percentage level of support once modelling is carried out</w:t>
            </w:r>
            <w:r w:rsidRPr="00ED1140">
              <w:t>.</w:t>
            </w:r>
          </w:p>
          <w:p w14:paraId="15F7ADF9" w14:textId="77777777" w:rsidR="00DC113B" w:rsidRDefault="00DC113B" w:rsidP="00DC113B">
            <w:pPr>
              <w:pStyle w:val="ListParagraph"/>
            </w:pPr>
          </w:p>
          <w:p w14:paraId="59D9DDD5" w14:textId="7C6EF784" w:rsidR="00DC113B" w:rsidRPr="00656F61" w:rsidRDefault="00DC113B" w:rsidP="00DC113B">
            <w:pPr>
              <w:rPr>
                <w:b/>
                <w:bCs/>
              </w:rPr>
            </w:pPr>
            <w:r w:rsidRPr="00656F61">
              <w:rPr>
                <w:b/>
                <w:bCs/>
              </w:rPr>
              <w:t>Reason</w:t>
            </w:r>
            <w:r w:rsidR="00656F61">
              <w:rPr>
                <w:b/>
                <w:bCs/>
              </w:rPr>
              <w:t xml:space="preserve"> </w:t>
            </w:r>
            <w:r w:rsidRPr="00656F61">
              <w:rPr>
                <w:b/>
                <w:bCs/>
              </w:rPr>
              <w:t>(</w:t>
            </w:r>
            <w:r w:rsidR="00656F61">
              <w:rPr>
                <w:b/>
                <w:bCs/>
              </w:rPr>
              <w:t>f</w:t>
            </w:r>
            <w:r w:rsidRPr="00656F61">
              <w:rPr>
                <w:b/>
                <w:bCs/>
              </w:rPr>
              <w:t>or recommendation</w:t>
            </w:r>
            <w:r w:rsidR="00656F61">
              <w:rPr>
                <w:b/>
                <w:bCs/>
              </w:rPr>
              <w:t>s</w:t>
            </w:r>
            <w:r w:rsidRPr="00656F61">
              <w:rPr>
                <w:b/>
                <w:bCs/>
              </w:rPr>
              <w:t>)</w:t>
            </w:r>
            <w:r w:rsidR="00656F61">
              <w:rPr>
                <w:b/>
                <w:bCs/>
              </w:rPr>
              <w:t>:</w:t>
            </w:r>
            <w:r w:rsidRPr="00656F61">
              <w:rPr>
                <w:b/>
                <w:bCs/>
              </w:rPr>
              <w:t xml:space="preserve"> </w:t>
            </w:r>
          </w:p>
          <w:p w14:paraId="16200CF2" w14:textId="77777777" w:rsidR="00DC113B" w:rsidRDefault="00DC113B" w:rsidP="00FE4A77">
            <w:pPr>
              <w:jc w:val="both"/>
              <w:rPr>
                <w:rFonts w:cs="Arial"/>
              </w:rPr>
            </w:pPr>
            <w:r>
              <w:rPr>
                <w:rFonts w:cs="Arial"/>
              </w:rPr>
              <w:t>To ensure Harrow Council’s eligible business ratepayers receive the maximum amount of centrally funded relief that can be claimed and to ensure the Council supports the local economy.</w:t>
            </w:r>
          </w:p>
          <w:p w14:paraId="2FA31E4C" w14:textId="17E4F595" w:rsidR="00333FAA" w:rsidRDefault="00333FAA" w:rsidP="00F41E43">
            <w:pPr>
              <w:rPr>
                <w:rFonts w:cs="Arial"/>
              </w:rPr>
            </w:pPr>
          </w:p>
        </w:tc>
      </w:tr>
    </w:tbl>
    <w:p w14:paraId="182560CD" w14:textId="77777777" w:rsidR="00FA55D8" w:rsidRDefault="00FA55D8" w:rsidP="00333FAA">
      <w:pPr>
        <w:pStyle w:val="Heading1"/>
      </w:pPr>
    </w:p>
    <w:p w14:paraId="2FA31E53" w14:textId="481A7A63" w:rsidR="005F4153" w:rsidRDefault="005F4153" w:rsidP="005F4153"/>
    <w:p w14:paraId="3AD6167C" w14:textId="77777777" w:rsidR="00656F61" w:rsidRPr="005F4153" w:rsidRDefault="00656F61" w:rsidP="005F4153"/>
    <w:p w14:paraId="118E9709" w14:textId="77777777" w:rsidR="00656F61" w:rsidRDefault="00656F61" w:rsidP="00656F61">
      <w:pPr>
        <w:pStyle w:val="Heading2"/>
        <w:spacing w:before="480"/>
      </w:pPr>
      <w:r>
        <w:lastRenderedPageBreak/>
        <w:t>Section 2 – Report</w:t>
      </w:r>
    </w:p>
    <w:p w14:paraId="031D2E87" w14:textId="77777777" w:rsidR="00656F61" w:rsidRDefault="00656F61" w:rsidP="00656F61">
      <w:pPr>
        <w:pStyle w:val="ListParagraph"/>
        <w:ind w:left="705"/>
        <w:outlineLvl w:val="1"/>
        <w:rPr>
          <w:rFonts w:cs="Arial"/>
          <w:b/>
          <w:bCs/>
          <w:sz w:val="28"/>
          <w:szCs w:val="28"/>
        </w:rPr>
      </w:pPr>
    </w:p>
    <w:p w14:paraId="0D34426D" w14:textId="77BF5B44" w:rsidR="00B470D9" w:rsidRDefault="00B470D9" w:rsidP="00FA7166">
      <w:pPr>
        <w:pStyle w:val="ListParagraph"/>
        <w:numPr>
          <w:ilvl w:val="1"/>
          <w:numId w:val="16"/>
        </w:numPr>
        <w:outlineLvl w:val="1"/>
        <w:rPr>
          <w:rFonts w:cs="Arial"/>
          <w:b/>
          <w:bCs/>
          <w:sz w:val="28"/>
          <w:szCs w:val="28"/>
        </w:rPr>
      </w:pPr>
      <w:r w:rsidRPr="00B908C3">
        <w:rPr>
          <w:rFonts w:cs="Arial"/>
          <w:b/>
          <w:bCs/>
          <w:sz w:val="28"/>
          <w:szCs w:val="28"/>
        </w:rPr>
        <w:t>Introductory paragraph</w:t>
      </w:r>
    </w:p>
    <w:p w14:paraId="49CD3770" w14:textId="77777777" w:rsidR="00656F61" w:rsidRPr="00B908C3" w:rsidRDefault="00656F61" w:rsidP="00656F61">
      <w:pPr>
        <w:pStyle w:val="ListParagraph"/>
        <w:ind w:left="705"/>
        <w:outlineLvl w:val="1"/>
        <w:rPr>
          <w:rFonts w:cs="Arial"/>
          <w:b/>
          <w:bCs/>
          <w:sz w:val="28"/>
          <w:szCs w:val="28"/>
        </w:rPr>
      </w:pPr>
    </w:p>
    <w:p w14:paraId="44D248B8" w14:textId="77777777" w:rsidR="00EA20D8" w:rsidRDefault="0019175A" w:rsidP="0019175A">
      <w:pPr>
        <w:pStyle w:val="ListParagraph"/>
        <w:widowControl w:val="0"/>
        <w:numPr>
          <w:ilvl w:val="1"/>
          <w:numId w:val="16"/>
        </w:numPr>
        <w:tabs>
          <w:tab w:val="left" w:pos="747"/>
        </w:tabs>
        <w:autoSpaceDE w:val="0"/>
        <w:autoSpaceDN w:val="0"/>
        <w:spacing w:before="1"/>
        <w:ind w:right="229"/>
        <w:jc w:val="both"/>
      </w:pPr>
      <w:r>
        <w:t>The Rating (Coronavirus) and Directors Disqualification (Dissolved Companies)</w:t>
      </w:r>
      <w:r>
        <w:rPr>
          <w:spacing w:val="-64"/>
        </w:rPr>
        <w:t xml:space="preserve"> </w:t>
      </w:r>
      <w:r>
        <w:t>Act</w:t>
      </w:r>
      <w:r>
        <w:rPr>
          <w:spacing w:val="1"/>
        </w:rPr>
        <w:t xml:space="preserve"> </w:t>
      </w:r>
      <w:r>
        <w:t>2021</w:t>
      </w:r>
      <w:r>
        <w:rPr>
          <w:spacing w:val="1"/>
        </w:rPr>
        <w:t xml:space="preserve"> </w:t>
      </w:r>
      <w:r>
        <w:t>received</w:t>
      </w:r>
      <w:r>
        <w:rPr>
          <w:spacing w:val="1"/>
        </w:rPr>
        <w:t xml:space="preserve"> </w:t>
      </w:r>
      <w:r>
        <w:t>royal</w:t>
      </w:r>
      <w:r>
        <w:rPr>
          <w:spacing w:val="1"/>
        </w:rPr>
        <w:t xml:space="preserve"> </w:t>
      </w:r>
      <w:r>
        <w:t>assent</w:t>
      </w:r>
      <w:r>
        <w:rPr>
          <w:spacing w:val="1"/>
        </w:rPr>
        <w:t xml:space="preserve"> </w:t>
      </w:r>
      <w:r>
        <w:t>which</w:t>
      </w:r>
      <w:r>
        <w:rPr>
          <w:spacing w:val="1"/>
        </w:rPr>
        <w:t xml:space="preserve"> </w:t>
      </w:r>
      <w:r>
        <w:t>provided</w:t>
      </w:r>
      <w:r>
        <w:rPr>
          <w:spacing w:val="1"/>
        </w:rPr>
        <w:t xml:space="preserve"> </w:t>
      </w:r>
      <w:r>
        <w:t>the</w:t>
      </w:r>
      <w:r>
        <w:rPr>
          <w:spacing w:val="1"/>
        </w:rPr>
        <w:t xml:space="preserve"> </w:t>
      </w:r>
      <w:r>
        <w:t>legislation</w:t>
      </w:r>
      <w:r>
        <w:rPr>
          <w:spacing w:val="1"/>
        </w:rPr>
        <w:t xml:space="preserve"> </w:t>
      </w:r>
      <w:r>
        <w:t>for</w:t>
      </w:r>
      <w:r>
        <w:rPr>
          <w:spacing w:val="1"/>
        </w:rPr>
        <w:t xml:space="preserve"> </w:t>
      </w:r>
      <w:r>
        <w:t>the</w:t>
      </w:r>
      <w:r>
        <w:rPr>
          <w:spacing w:val="1"/>
        </w:rPr>
        <w:t xml:space="preserve"> </w:t>
      </w:r>
      <w:r>
        <w:t xml:space="preserve">introduction of Covid-19 Additional Relief Fund (CARF). </w:t>
      </w:r>
    </w:p>
    <w:p w14:paraId="7771A2A4" w14:textId="77777777" w:rsidR="00EA20D8" w:rsidRDefault="00EA20D8" w:rsidP="00EA20D8">
      <w:pPr>
        <w:pStyle w:val="ListParagraph"/>
        <w:widowControl w:val="0"/>
        <w:tabs>
          <w:tab w:val="left" w:pos="747"/>
        </w:tabs>
        <w:autoSpaceDE w:val="0"/>
        <w:autoSpaceDN w:val="0"/>
        <w:spacing w:before="1"/>
        <w:ind w:left="705" w:right="229"/>
        <w:jc w:val="both"/>
      </w:pPr>
    </w:p>
    <w:p w14:paraId="6E7F1E7A" w14:textId="4216A7C6" w:rsidR="0019175A" w:rsidRDefault="00EA20D8" w:rsidP="0019175A">
      <w:pPr>
        <w:pStyle w:val="ListParagraph"/>
        <w:widowControl w:val="0"/>
        <w:numPr>
          <w:ilvl w:val="1"/>
          <w:numId w:val="16"/>
        </w:numPr>
        <w:tabs>
          <w:tab w:val="left" w:pos="747"/>
        </w:tabs>
        <w:autoSpaceDE w:val="0"/>
        <w:autoSpaceDN w:val="0"/>
        <w:spacing w:before="1"/>
        <w:ind w:right="229"/>
        <w:jc w:val="both"/>
      </w:pPr>
      <w:r>
        <w:t>T</w:t>
      </w:r>
      <w:r w:rsidR="0019175A">
        <w:t>he Department for</w:t>
      </w:r>
      <w:r w:rsidR="0019175A">
        <w:rPr>
          <w:spacing w:val="1"/>
        </w:rPr>
        <w:t xml:space="preserve"> </w:t>
      </w:r>
      <w:r w:rsidR="0019175A">
        <w:t>Levelling</w:t>
      </w:r>
      <w:r w:rsidR="0019175A">
        <w:rPr>
          <w:spacing w:val="1"/>
        </w:rPr>
        <w:t xml:space="preserve"> </w:t>
      </w:r>
      <w:r w:rsidR="0019175A">
        <w:t>Up, Housing</w:t>
      </w:r>
      <w:r w:rsidR="0019175A">
        <w:rPr>
          <w:spacing w:val="1"/>
        </w:rPr>
        <w:t xml:space="preserve"> </w:t>
      </w:r>
      <w:r w:rsidR="0019175A">
        <w:t>and</w:t>
      </w:r>
      <w:r w:rsidR="0019175A">
        <w:rPr>
          <w:spacing w:val="1"/>
        </w:rPr>
        <w:t xml:space="preserve"> </w:t>
      </w:r>
      <w:r w:rsidR="0019175A">
        <w:t>Communities</w:t>
      </w:r>
      <w:r w:rsidR="0019175A">
        <w:rPr>
          <w:spacing w:val="1"/>
        </w:rPr>
        <w:t xml:space="preserve"> </w:t>
      </w:r>
      <w:r w:rsidR="0019175A">
        <w:t>(DLUHC) issued</w:t>
      </w:r>
      <w:r w:rsidR="0019175A">
        <w:rPr>
          <w:spacing w:val="1"/>
        </w:rPr>
        <w:t xml:space="preserve"> </w:t>
      </w:r>
      <w:r w:rsidR="0019175A">
        <w:t>guidance</w:t>
      </w:r>
      <w:r w:rsidR="0019175A">
        <w:rPr>
          <w:spacing w:val="1"/>
        </w:rPr>
        <w:t xml:space="preserve"> </w:t>
      </w:r>
      <w:r w:rsidR="0019175A">
        <w:t>for</w:t>
      </w:r>
      <w:r w:rsidR="0019175A">
        <w:rPr>
          <w:spacing w:val="1"/>
        </w:rPr>
        <w:t xml:space="preserve"> </w:t>
      </w:r>
      <w:r w:rsidR="0019175A">
        <w:t>the</w:t>
      </w:r>
      <w:r w:rsidR="0019175A">
        <w:rPr>
          <w:spacing w:val="1"/>
        </w:rPr>
        <w:t xml:space="preserve"> </w:t>
      </w:r>
      <w:r w:rsidR="0019175A">
        <w:t>scheme</w:t>
      </w:r>
      <w:r w:rsidR="0019175A">
        <w:rPr>
          <w:spacing w:val="-1"/>
        </w:rPr>
        <w:t xml:space="preserve"> </w:t>
      </w:r>
      <w:r w:rsidR="0019175A">
        <w:t xml:space="preserve">on the </w:t>
      </w:r>
      <w:proofErr w:type="gramStart"/>
      <w:r w:rsidR="0019175A">
        <w:t>15</w:t>
      </w:r>
      <w:r w:rsidR="0019175A" w:rsidRPr="006920D8">
        <w:rPr>
          <w:vertAlign w:val="superscript"/>
        </w:rPr>
        <w:t>th</w:t>
      </w:r>
      <w:proofErr w:type="gramEnd"/>
      <w:r w:rsidR="0019175A">
        <w:t xml:space="preserve"> December 2021.</w:t>
      </w:r>
      <w:r w:rsidR="00817C00">
        <w:t xml:space="preserve"> </w:t>
      </w:r>
      <w:r w:rsidR="000B7EC4">
        <w:t>L</w:t>
      </w:r>
      <w:r w:rsidR="00671BDE">
        <w:t xml:space="preserve">ocal authority allocations of funding have </w:t>
      </w:r>
      <w:r w:rsidR="000B7EC4">
        <w:t xml:space="preserve">since been announced </w:t>
      </w:r>
      <w:r w:rsidR="00671BDE">
        <w:t xml:space="preserve">with Harrow </w:t>
      </w:r>
      <w:r w:rsidR="000B7EC4">
        <w:t xml:space="preserve">having been allocated </w:t>
      </w:r>
      <w:r w:rsidR="00671BDE">
        <w:t>£3,172,759 in funding to operate thi</w:t>
      </w:r>
      <w:r w:rsidR="007D34B9">
        <w:t>s scheme.</w:t>
      </w:r>
    </w:p>
    <w:p w14:paraId="1DC11AF8" w14:textId="77777777" w:rsidR="0019175A" w:rsidRDefault="0019175A" w:rsidP="0019175A">
      <w:pPr>
        <w:pStyle w:val="BodyText"/>
        <w:spacing w:before="7"/>
        <w:ind w:right="229"/>
        <w:jc w:val="both"/>
        <w:rPr>
          <w:sz w:val="23"/>
        </w:rPr>
      </w:pPr>
    </w:p>
    <w:p w14:paraId="14345E42" w14:textId="00D390A7" w:rsidR="0019175A" w:rsidRDefault="0019175A" w:rsidP="0019175A">
      <w:pPr>
        <w:pStyle w:val="ListParagraph"/>
        <w:widowControl w:val="0"/>
        <w:numPr>
          <w:ilvl w:val="1"/>
          <w:numId w:val="16"/>
        </w:numPr>
        <w:tabs>
          <w:tab w:val="left" w:pos="747"/>
        </w:tabs>
        <w:autoSpaceDE w:val="0"/>
        <w:autoSpaceDN w:val="0"/>
        <w:ind w:right="229"/>
        <w:jc w:val="both"/>
      </w:pPr>
      <w:r>
        <w:rPr>
          <w:color w:val="0A0B0B"/>
        </w:rPr>
        <w:t xml:space="preserve">As this is a temporary relief fund for 2021/22, </w:t>
      </w:r>
      <w:r>
        <w:t xml:space="preserve">the Government </w:t>
      </w:r>
      <w:r w:rsidR="001D47AA">
        <w:t>did</w:t>
      </w:r>
      <w:r>
        <w:t xml:space="preserve"> not chang</w:t>
      </w:r>
      <w:r w:rsidR="008C3F63">
        <w:t>e</w:t>
      </w:r>
      <w:r>
        <w:rPr>
          <w:spacing w:val="1"/>
        </w:rPr>
        <w:t xml:space="preserve"> </w:t>
      </w:r>
      <w:r>
        <w:t>legislation relating to Business Rates relief available to properties. Instead, the</w:t>
      </w:r>
      <w:r>
        <w:rPr>
          <w:spacing w:val="1"/>
        </w:rPr>
        <w:t xml:space="preserve"> </w:t>
      </w:r>
      <w:r>
        <w:t>Government will, in line with the eligibility criteria, reimburse Local Authorities</w:t>
      </w:r>
      <w:r>
        <w:rPr>
          <w:spacing w:val="1"/>
        </w:rPr>
        <w:t xml:space="preserve"> </w:t>
      </w:r>
      <w:r>
        <w:t>where relief is granted using discretionary powers under Section 47 of the Local</w:t>
      </w:r>
      <w:r>
        <w:rPr>
          <w:spacing w:val="-64"/>
        </w:rPr>
        <w:t xml:space="preserve"> </w:t>
      </w:r>
      <w:r>
        <w:t>Government</w:t>
      </w:r>
      <w:r>
        <w:rPr>
          <w:spacing w:val="-1"/>
        </w:rPr>
        <w:t xml:space="preserve"> </w:t>
      </w:r>
      <w:r>
        <w:t>Finance</w:t>
      </w:r>
      <w:r>
        <w:rPr>
          <w:spacing w:val="-2"/>
        </w:rPr>
        <w:t xml:space="preserve"> </w:t>
      </w:r>
      <w:r>
        <w:t>Act 1998.</w:t>
      </w:r>
    </w:p>
    <w:p w14:paraId="3810CC5D" w14:textId="77777777" w:rsidR="0019175A" w:rsidRDefault="0019175A" w:rsidP="0019175A">
      <w:pPr>
        <w:pStyle w:val="BodyText"/>
        <w:ind w:right="229"/>
        <w:jc w:val="both"/>
      </w:pPr>
    </w:p>
    <w:p w14:paraId="2971E738" w14:textId="5A3F2AF8" w:rsidR="0019175A" w:rsidRDefault="0019175A" w:rsidP="00EA2C10">
      <w:pPr>
        <w:pStyle w:val="ListParagraph"/>
        <w:widowControl w:val="0"/>
        <w:numPr>
          <w:ilvl w:val="1"/>
          <w:numId w:val="16"/>
        </w:numPr>
        <w:autoSpaceDE w:val="0"/>
        <w:autoSpaceDN w:val="0"/>
        <w:ind w:right="229"/>
        <w:jc w:val="both"/>
      </w:pPr>
      <w:r>
        <w:t>Although the Government have set some national criteria, it rec</w:t>
      </w:r>
      <w:r w:rsidR="008C3F63">
        <w:t>o</w:t>
      </w:r>
      <w:r>
        <w:t>gnises that</w:t>
      </w:r>
      <w:r w:rsidRPr="009F72B7">
        <w:rPr>
          <w:spacing w:val="1"/>
        </w:rPr>
        <w:t xml:space="preserve"> </w:t>
      </w:r>
      <w:r>
        <w:t>economic need will vary across the country, so wants Local Authorities to</w:t>
      </w:r>
      <w:r w:rsidRPr="009F72B7">
        <w:rPr>
          <w:spacing w:val="1"/>
        </w:rPr>
        <w:t xml:space="preserve"> </w:t>
      </w:r>
      <w:r>
        <w:t>exercise their local knowledge and discretion to design a discretionary scheme</w:t>
      </w:r>
      <w:r w:rsidRPr="009F72B7">
        <w:rPr>
          <w:spacing w:val="1"/>
        </w:rPr>
        <w:t xml:space="preserve"> </w:t>
      </w:r>
      <w:r>
        <w:t>to operate in its</w:t>
      </w:r>
      <w:r w:rsidRPr="009F72B7">
        <w:rPr>
          <w:spacing w:val="-2"/>
        </w:rPr>
        <w:t xml:space="preserve"> </w:t>
      </w:r>
      <w:r>
        <w:t>area</w:t>
      </w:r>
      <w:r w:rsidR="00395BBB">
        <w:t xml:space="preserve">. </w:t>
      </w:r>
      <w:r w:rsidR="00E82AC6">
        <w:t xml:space="preserve">Officers are now proposing the attached scheme </w:t>
      </w:r>
      <w:r>
        <w:t>set</w:t>
      </w:r>
      <w:r w:rsidRPr="009F72B7">
        <w:rPr>
          <w:spacing w:val="-3"/>
        </w:rPr>
        <w:t xml:space="preserve"> </w:t>
      </w:r>
      <w:r>
        <w:t>out</w:t>
      </w:r>
      <w:r w:rsidRPr="009F72B7">
        <w:rPr>
          <w:spacing w:val="-1"/>
        </w:rPr>
        <w:t xml:space="preserve"> </w:t>
      </w:r>
      <w:r>
        <w:t>in</w:t>
      </w:r>
      <w:r w:rsidRPr="009F72B7">
        <w:rPr>
          <w:spacing w:val="-1"/>
        </w:rPr>
        <w:t xml:space="preserve"> </w:t>
      </w:r>
      <w:r>
        <w:t>th</w:t>
      </w:r>
      <w:r w:rsidR="00E82AC6">
        <w:t>e</w:t>
      </w:r>
      <w:r w:rsidRPr="009F72B7">
        <w:rPr>
          <w:spacing w:val="-2"/>
        </w:rPr>
        <w:t xml:space="preserve"> policy </w:t>
      </w:r>
      <w:r>
        <w:t>document.</w:t>
      </w:r>
    </w:p>
    <w:p w14:paraId="11C010D6" w14:textId="77777777" w:rsidR="0019175A" w:rsidRPr="00E86600" w:rsidRDefault="0019175A" w:rsidP="0019175A">
      <w:pPr>
        <w:pStyle w:val="ListParagraph"/>
        <w:ind w:right="229"/>
      </w:pPr>
    </w:p>
    <w:p w14:paraId="10528BC8" w14:textId="7B7C5B33" w:rsidR="0019175A" w:rsidRPr="00586C5A" w:rsidRDefault="0019175A" w:rsidP="0019175A">
      <w:pPr>
        <w:pStyle w:val="ListParagraph"/>
        <w:widowControl w:val="0"/>
        <w:numPr>
          <w:ilvl w:val="1"/>
          <w:numId w:val="16"/>
        </w:numPr>
        <w:tabs>
          <w:tab w:val="left" w:pos="746"/>
          <w:tab w:val="left" w:pos="747"/>
        </w:tabs>
        <w:autoSpaceDE w:val="0"/>
        <w:autoSpaceDN w:val="0"/>
        <w:ind w:right="229"/>
        <w:jc w:val="both"/>
      </w:pPr>
      <w:r w:rsidRPr="00586C5A">
        <w:t xml:space="preserve">This policy contains the provisions for the Harrow CARF scheme for compliance with statutory provisions and Government guidance.  Subject to these requirements, however, each </w:t>
      </w:r>
      <w:r>
        <w:t xml:space="preserve">application </w:t>
      </w:r>
      <w:r w:rsidRPr="00586C5A">
        <w:t>shall be considered on its own merits</w:t>
      </w:r>
      <w:r>
        <w:t xml:space="preserve"> with reference to the CARF policy</w:t>
      </w:r>
      <w:r w:rsidR="009F72B7">
        <w:t xml:space="preserve"> and Government Guidance</w:t>
      </w:r>
      <w:r w:rsidRPr="00586C5A">
        <w:t xml:space="preserve">.  </w:t>
      </w:r>
    </w:p>
    <w:p w14:paraId="49C9274F" w14:textId="4A5BFE8D" w:rsidR="0019175A" w:rsidRDefault="0019175A" w:rsidP="0019175A">
      <w:pPr>
        <w:pStyle w:val="Heading1"/>
        <w:widowControl w:val="0"/>
        <w:numPr>
          <w:ilvl w:val="0"/>
          <w:numId w:val="16"/>
        </w:numPr>
        <w:tabs>
          <w:tab w:val="left" w:pos="746"/>
          <w:tab w:val="left" w:pos="747"/>
        </w:tabs>
        <w:autoSpaceDE w:val="0"/>
        <w:autoSpaceDN w:val="0"/>
        <w:spacing w:before="218"/>
        <w:ind w:right="229"/>
        <w:jc w:val="both"/>
        <w:rPr>
          <w:rFonts w:ascii="Arial" w:hAnsi="Arial"/>
          <w:b/>
          <w:bCs w:val="0"/>
          <w:sz w:val="28"/>
          <w:szCs w:val="28"/>
        </w:rPr>
      </w:pPr>
      <w:r w:rsidRPr="005C0213">
        <w:rPr>
          <w:rFonts w:ascii="Arial" w:hAnsi="Arial"/>
          <w:b/>
          <w:bCs w:val="0"/>
          <w:sz w:val="28"/>
          <w:szCs w:val="28"/>
        </w:rPr>
        <w:t>Scope</w:t>
      </w:r>
      <w:r w:rsidRPr="005C0213">
        <w:rPr>
          <w:rFonts w:ascii="Arial" w:hAnsi="Arial"/>
          <w:b/>
          <w:bCs w:val="0"/>
          <w:spacing w:val="-1"/>
          <w:sz w:val="28"/>
          <w:szCs w:val="28"/>
        </w:rPr>
        <w:t xml:space="preserve"> </w:t>
      </w:r>
      <w:r w:rsidRPr="005C0213">
        <w:rPr>
          <w:rFonts w:ascii="Arial" w:hAnsi="Arial"/>
          <w:b/>
          <w:bCs w:val="0"/>
          <w:sz w:val="28"/>
          <w:szCs w:val="28"/>
        </w:rPr>
        <w:t>and</w:t>
      </w:r>
      <w:r w:rsidRPr="005C0213">
        <w:rPr>
          <w:rFonts w:ascii="Arial" w:hAnsi="Arial"/>
          <w:b/>
          <w:bCs w:val="0"/>
          <w:spacing w:val="-4"/>
          <w:sz w:val="28"/>
          <w:szCs w:val="28"/>
        </w:rPr>
        <w:t xml:space="preserve"> </w:t>
      </w:r>
      <w:r w:rsidRPr="005C0213">
        <w:rPr>
          <w:rFonts w:ascii="Arial" w:hAnsi="Arial"/>
          <w:b/>
          <w:bCs w:val="0"/>
          <w:sz w:val="28"/>
          <w:szCs w:val="28"/>
        </w:rPr>
        <w:t>eligibility</w:t>
      </w:r>
    </w:p>
    <w:p w14:paraId="464149D4" w14:textId="77777777" w:rsidR="00276A6B" w:rsidRPr="00276A6B" w:rsidRDefault="00276A6B" w:rsidP="00276A6B"/>
    <w:p w14:paraId="29F66C26" w14:textId="77777777" w:rsidR="0019175A" w:rsidRDefault="0019175A" w:rsidP="0019175A">
      <w:pPr>
        <w:pStyle w:val="ListParagraph"/>
        <w:widowControl w:val="0"/>
        <w:numPr>
          <w:ilvl w:val="1"/>
          <w:numId w:val="16"/>
        </w:numPr>
        <w:tabs>
          <w:tab w:val="left" w:pos="747"/>
        </w:tabs>
        <w:autoSpaceDE w:val="0"/>
        <w:autoSpaceDN w:val="0"/>
        <w:ind w:right="229"/>
        <w:jc w:val="both"/>
        <w:rPr>
          <w:color w:val="0A0B0B"/>
        </w:rPr>
      </w:pPr>
      <w:r>
        <w:rPr>
          <w:color w:val="0A0B0B"/>
        </w:rPr>
        <w:t>The Government guidance gives the Council discretion over the relief scheme,</w:t>
      </w:r>
      <w:r>
        <w:rPr>
          <w:color w:val="0A0B0B"/>
          <w:spacing w:val="1"/>
        </w:rPr>
        <w:t xml:space="preserve"> </w:t>
      </w:r>
      <w:r>
        <w:rPr>
          <w:color w:val="0A0B0B"/>
        </w:rPr>
        <w:t>and</w:t>
      </w:r>
      <w:r>
        <w:rPr>
          <w:color w:val="0A0B0B"/>
          <w:spacing w:val="-1"/>
        </w:rPr>
        <w:t xml:space="preserve"> Harrow Council </w:t>
      </w:r>
      <w:r>
        <w:rPr>
          <w:color w:val="0A0B0B"/>
        </w:rPr>
        <w:t>decisions regarding the</w:t>
      </w:r>
      <w:r>
        <w:rPr>
          <w:color w:val="0A0B0B"/>
          <w:spacing w:val="-1"/>
        </w:rPr>
        <w:t xml:space="preserve"> </w:t>
      </w:r>
      <w:r>
        <w:rPr>
          <w:color w:val="0A0B0B"/>
        </w:rPr>
        <w:t>scheme will be final.</w:t>
      </w:r>
    </w:p>
    <w:p w14:paraId="6D9FA8EC" w14:textId="77777777" w:rsidR="0019175A" w:rsidRDefault="0019175A" w:rsidP="0019175A">
      <w:pPr>
        <w:pStyle w:val="BodyText"/>
        <w:ind w:right="229"/>
        <w:jc w:val="both"/>
      </w:pPr>
    </w:p>
    <w:p w14:paraId="2751CC87" w14:textId="49CF2E17" w:rsidR="00FA7166" w:rsidRDefault="0019175A" w:rsidP="005B12B7">
      <w:pPr>
        <w:pStyle w:val="ListParagraph"/>
        <w:ind w:left="705"/>
        <w:jc w:val="both"/>
        <w:outlineLvl w:val="1"/>
        <w:rPr>
          <w:color w:val="0A0B0B"/>
        </w:rPr>
      </w:pPr>
      <w:r>
        <w:rPr>
          <w:color w:val="0A0B0B"/>
        </w:rPr>
        <w:t>To</w:t>
      </w:r>
      <w:r>
        <w:rPr>
          <w:color w:val="0A0B0B"/>
          <w:spacing w:val="1"/>
        </w:rPr>
        <w:t xml:space="preserve"> </w:t>
      </w:r>
      <w:r>
        <w:rPr>
          <w:color w:val="0A0B0B"/>
        </w:rPr>
        <w:t>be</w:t>
      </w:r>
      <w:r>
        <w:rPr>
          <w:color w:val="0A0B0B"/>
          <w:spacing w:val="1"/>
        </w:rPr>
        <w:t xml:space="preserve"> </w:t>
      </w:r>
      <w:r>
        <w:rPr>
          <w:color w:val="0A0B0B"/>
        </w:rPr>
        <w:t>eligible</w:t>
      </w:r>
      <w:r>
        <w:rPr>
          <w:color w:val="0A0B0B"/>
          <w:spacing w:val="1"/>
        </w:rPr>
        <w:t xml:space="preserve"> </w:t>
      </w:r>
      <w:r>
        <w:rPr>
          <w:color w:val="0A0B0B"/>
        </w:rPr>
        <w:t>to</w:t>
      </w:r>
      <w:r>
        <w:rPr>
          <w:color w:val="0A0B0B"/>
          <w:spacing w:val="1"/>
        </w:rPr>
        <w:t xml:space="preserve"> </w:t>
      </w:r>
      <w:r>
        <w:rPr>
          <w:color w:val="0A0B0B"/>
        </w:rPr>
        <w:t>apply</w:t>
      </w:r>
      <w:r>
        <w:rPr>
          <w:color w:val="0A0B0B"/>
          <w:spacing w:val="1"/>
        </w:rPr>
        <w:t xml:space="preserve"> </w:t>
      </w:r>
      <w:r>
        <w:rPr>
          <w:color w:val="0A0B0B"/>
        </w:rPr>
        <w:t>for</w:t>
      </w:r>
      <w:r>
        <w:rPr>
          <w:color w:val="0A0B0B"/>
          <w:spacing w:val="1"/>
        </w:rPr>
        <w:t xml:space="preserve"> </w:t>
      </w:r>
      <w:r>
        <w:rPr>
          <w:color w:val="0A0B0B"/>
        </w:rPr>
        <w:t>relief</w:t>
      </w:r>
      <w:r>
        <w:rPr>
          <w:color w:val="0A0B0B"/>
          <w:spacing w:val="1"/>
        </w:rPr>
        <w:t xml:space="preserve"> </w:t>
      </w:r>
      <w:r>
        <w:rPr>
          <w:color w:val="0A0B0B"/>
        </w:rPr>
        <w:t>under</w:t>
      </w:r>
      <w:r>
        <w:rPr>
          <w:color w:val="0A0B0B"/>
          <w:spacing w:val="1"/>
        </w:rPr>
        <w:t xml:space="preserve"> </w:t>
      </w:r>
      <w:r>
        <w:rPr>
          <w:color w:val="0A0B0B"/>
        </w:rPr>
        <w:t>this</w:t>
      </w:r>
      <w:r>
        <w:rPr>
          <w:color w:val="0A0B0B"/>
          <w:spacing w:val="1"/>
        </w:rPr>
        <w:t xml:space="preserve"> </w:t>
      </w:r>
      <w:r>
        <w:rPr>
          <w:color w:val="0A0B0B"/>
        </w:rPr>
        <w:t>main</w:t>
      </w:r>
      <w:r>
        <w:rPr>
          <w:color w:val="0A0B0B"/>
          <w:spacing w:val="1"/>
        </w:rPr>
        <w:t xml:space="preserve"> </w:t>
      </w:r>
      <w:r>
        <w:rPr>
          <w:color w:val="0A0B0B"/>
        </w:rPr>
        <w:t xml:space="preserve">scheme, a Business Ratepayer </w:t>
      </w:r>
      <w:r>
        <w:t>must</w:t>
      </w:r>
      <w:r>
        <w:rPr>
          <w:spacing w:val="1"/>
        </w:rPr>
        <w:t xml:space="preserve"> </w:t>
      </w:r>
      <w:r w:rsidR="00BF66F0">
        <w:rPr>
          <w:spacing w:val="1"/>
        </w:rPr>
        <w:t xml:space="preserve">meet the conditions as set out within the proposed policy attached to this report.  In broad terms, they should </w:t>
      </w:r>
      <w:r>
        <w:t>be</w:t>
      </w:r>
      <w:r>
        <w:rPr>
          <w:spacing w:val="1"/>
        </w:rPr>
        <w:t xml:space="preserve"> </w:t>
      </w:r>
      <w:r>
        <w:t>a</w:t>
      </w:r>
      <w:r>
        <w:rPr>
          <w:spacing w:val="1"/>
        </w:rPr>
        <w:t xml:space="preserve"> </w:t>
      </w:r>
      <w:r>
        <w:t>ratepayer liable and occupying a hereditament for Business Rates in the Harrow</w:t>
      </w:r>
      <w:r>
        <w:rPr>
          <w:spacing w:val="1"/>
        </w:rPr>
        <w:t xml:space="preserve"> </w:t>
      </w:r>
      <w:r>
        <w:t>Council area</w:t>
      </w:r>
      <w:r>
        <w:rPr>
          <w:spacing w:val="1"/>
        </w:rPr>
        <w:t xml:space="preserve"> </w:t>
      </w:r>
      <w:r>
        <w:t>during</w:t>
      </w:r>
      <w:r>
        <w:rPr>
          <w:spacing w:val="16"/>
        </w:rPr>
        <w:t xml:space="preserve"> </w:t>
      </w:r>
      <w:r>
        <w:t>the</w:t>
      </w:r>
      <w:r>
        <w:rPr>
          <w:spacing w:val="16"/>
        </w:rPr>
        <w:t xml:space="preserve"> </w:t>
      </w:r>
      <w:r>
        <w:t>period</w:t>
      </w:r>
      <w:r>
        <w:rPr>
          <w:spacing w:val="16"/>
        </w:rPr>
        <w:t xml:space="preserve"> </w:t>
      </w:r>
      <w:r>
        <w:t>1st</w:t>
      </w:r>
      <w:r>
        <w:rPr>
          <w:spacing w:val="16"/>
        </w:rPr>
        <w:t xml:space="preserve"> </w:t>
      </w:r>
      <w:r>
        <w:t>April</w:t>
      </w:r>
      <w:r>
        <w:rPr>
          <w:spacing w:val="17"/>
        </w:rPr>
        <w:t xml:space="preserve"> </w:t>
      </w:r>
      <w:r>
        <w:t>2021</w:t>
      </w:r>
      <w:r>
        <w:rPr>
          <w:spacing w:val="16"/>
        </w:rPr>
        <w:t xml:space="preserve"> </w:t>
      </w:r>
      <w:r>
        <w:t>to</w:t>
      </w:r>
      <w:r>
        <w:rPr>
          <w:spacing w:val="16"/>
        </w:rPr>
        <w:t xml:space="preserve"> </w:t>
      </w:r>
      <w:r>
        <w:t>31st</w:t>
      </w:r>
      <w:r>
        <w:rPr>
          <w:spacing w:val="16"/>
        </w:rPr>
        <w:t xml:space="preserve"> </w:t>
      </w:r>
      <w:r>
        <w:t>March</w:t>
      </w:r>
      <w:r>
        <w:rPr>
          <w:spacing w:val="16"/>
        </w:rPr>
        <w:t xml:space="preserve"> </w:t>
      </w:r>
      <w:r>
        <w:t>2022</w:t>
      </w:r>
      <w:r>
        <w:rPr>
          <w:spacing w:val="18"/>
        </w:rPr>
        <w:t xml:space="preserve"> </w:t>
      </w:r>
      <w:r>
        <w:t>(for</w:t>
      </w:r>
      <w:r>
        <w:rPr>
          <w:spacing w:val="16"/>
        </w:rPr>
        <w:t xml:space="preserve"> </w:t>
      </w:r>
      <w:r>
        <w:t>a</w:t>
      </w:r>
      <w:r>
        <w:rPr>
          <w:spacing w:val="16"/>
        </w:rPr>
        <w:t xml:space="preserve"> </w:t>
      </w:r>
      <w:r>
        <w:t>period</w:t>
      </w:r>
      <w:r>
        <w:rPr>
          <w:spacing w:val="-64"/>
        </w:rPr>
        <w:t xml:space="preserve"> </w:t>
      </w:r>
      <w:r w:rsidR="00C45EC4">
        <w:rPr>
          <w:spacing w:val="-64"/>
        </w:rPr>
        <w:t xml:space="preserve">    </w:t>
      </w:r>
      <w:r>
        <w:t xml:space="preserve"> </w:t>
      </w:r>
      <w:r w:rsidR="00C45EC4">
        <w:t xml:space="preserve">of </w:t>
      </w:r>
      <w:r>
        <w:t>one day or more) w</w:t>
      </w:r>
      <w:r>
        <w:rPr>
          <w:color w:val="0A0B0B"/>
        </w:rPr>
        <w:t xml:space="preserve">here the hereditaments are rated </w:t>
      </w:r>
      <w:r w:rsidR="003236AE">
        <w:rPr>
          <w:color w:val="0A0B0B"/>
        </w:rPr>
        <w:t>and exist</w:t>
      </w:r>
      <w:r w:rsidR="00AA5797">
        <w:rPr>
          <w:color w:val="0A0B0B"/>
        </w:rPr>
        <w:t xml:space="preserve"> in the rating list </w:t>
      </w:r>
      <w:r w:rsidR="00863857">
        <w:rPr>
          <w:color w:val="0A0B0B"/>
        </w:rPr>
        <w:t>under</w:t>
      </w:r>
      <w:r>
        <w:rPr>
          <w:color w:val="0A0B0B"/>
        </w:rPr>
        <w:t xml:space="preserve"> the</w:t>
      </w:r>
      <w:r w:rsidR="00B02ADB">
        <w:rPr>
          <w:color w:val="0A0B0B"/>
        </w:rPr>
        <w:t xml:space="preserve"> </w:t>
      </w:r>
      <w:r w:rsidR="00B02ADB" w:rsidRPr="005B12B7">
        <w:rPr>
          <w:color w:val="0A0B0B"/>
        </w:rPr>
        <w:t xml:space="preserve">specific </w:t>
      </w:r>
      <w:r w:rsidRPr="005B12B7">
        <w:rPr>
          <w:color w:val="0A0B0B"/>
        </w:rPr>
        <w:t>sector</w:t>
      </w:r>
      <w:r w:rsidRPr="005B12B7">
        <w:rPr>
          <w:color w:val="0A0B0B"/>
          <w:spacing w:val="1"/>
        </w:rPr>
        <w:t xml:space="preserve"> </w:t>
      </w:r>
      <w:r w:rsidRPr="005B12B7">
        <w:rPr>
          <w:color w:val="0A0B0B"/>
        </w:rPr>
        <w:t>classifications</w:t>
      </w:r>
      <w:r w:rsidR="000E6689">
        <w:rPr>
          <w:color w:val="0A0B0B"/>
        </w:rPr>
        <w:t xml:space="preserve"> </w:t>
      </w:r>
      <w:r w:rsidRPr="005B12B7">
        <w:rPr>
          <w:color w:val="0A0B0B"/>
        </w:rPr>
        <w:t>as defined by the Valuation Office Agency</w:t>
      </w:r>
      <w:r w:rsidR="00212039" w:rsidRPr="005B12B7">
        <w:rPr>
          <w:color w:val="0A0B0B"/>
        </w:rPr>
        <w:t>.</w:t>
      </w:r>
    </w:p>
    <w:p w14:paraId="3EAD4298" w14:textId="17E089E7" w:rsidR="00727F87" w:rsidRDefault="00727F87" w:rsidP="005B12B7">
      <w:pPr>
        <w:pStyle w:val="ListParagraph"/>
        <w:ind w:left="705"/>
        <w:jc w:val="both"/>
        <w:outlineLvl w:val="1"/>
        <w:rPr>
          <w:color w:val="0A0B0B"/>
        </w:rPr>
      </w:pPr>
    </w:p>
    <w:p w14:paraId="05A2FC01" w14:textId="2DB14104" w:rsidR="00087F5F" w:rsidRDefault="00513D35" w:rsidP="005B12B7">
      <w:pPr>
        <w:tabs>
          <w:tab w:val="left" w:pos="8309"/>
        </w:tabs>
        <w:ind w:left="709" w:right="-55"/>
        <w:jc w:val="both"/>
        <w:rPr>
          <w:bCs/>
        </w:rPr>
      </w:pPr>
      <w:bookmarkStart w:id="0" w:name="_Hlk106022020"/>
      <w:r>
        <w:rPr>
          <w:bCs/>
        </w:rPr>
        <w:t xml:space="preserve">Most businesses </w:t>
      </w:r>
      <w:r w:rsidR="00AA5797">
        <w:rPr>
          <w:bCs/>
        </w:rPr>
        <w:t>in</w:t>
      </w:r>
      <w:r w:rsidR="002134F3">
        <w:rPr>
          <w:bCs/>
        </w:rPr>
        <w:t xml:space="preserve"> Harrow will therefore meet the criteria</w:t>
      </w:r>
      <w:r w:rsidR="00B540A3">
        <w:rPr>
          <w:bCs/>
        </w:rPr>
        <w:t xml:space="preserve"> </w:t>
      </w:r>
      <w:r>
        <w:rPr>
          <w:bCs/>
        </w:rPr>
        <w:t xml:space="preserve">but </w:t>
      </w:r>
      <w:r w:rsidR="00921921">
        <w:rPr>
          <w:bCs/>
        </w:rPr>
        <w:t>Harrow will not award relief</w:t>
      </w:r>
      <w:r w:rsidR="00087F5F">
        <w:rPr>
          <w:bCs/>
        </w:rPr>
        <w:t xml:space="preserve"> if the following </w:t>
      </w:r>
      <w:proofErr w:type="gramStart"/>
      <w:r w:rsidR="00087F5F">
        <w:rPr>
          <w:bCs/>
        </w:rPr>
        <w:t>applies;</w:t>
      </w:r>
      <w:proofErr w:type="gramEnd"/>
    </w:p>
    <w:bookmarkEnd w:id="0"/>
    <w:p w14:paraId="1D98A931" w14:textId="77777777" w:rsidR="00087F5F" w:rsidRDefault="00087F5F" w:rsidP="005B12B7">
      <w:pPr>
        <w:tabs>
          <w:tab w:val="left" w:pos="8309"/>
        </w:tabs>
        <w:ind w:left="709" w:right="-55"/>
        <w:jc w:val="both"/>
        <w:rPr>
          <w:bCs/>
        </w:rPr>
      </w:pPr>
    </w:p>
    <w:p w14:paraId="765803E1" w14:textId="4305335F" w:rsidR="00220516" w:rsidRPr="00220516" w:rsidRDefault="00220516" w:rsidP="00220516">
      <w:pPr>
        <w:tabs>
          <w:tab w:val="left" w:pos="8309"/>
        </w:tabs>
        <w:ind w:left="1440" w:right="-55"/>
        <w:jc w:val="both"/>
        <w:rPr>
          <w:bCs/>
        </w:rPr>
      </w:pPr>
      <w:r w:rsidRPr="00220516">
        <w:rPr>
          <w:bCs/>
        </w:rPr>
        <w:lastRenderedPageBreak/>
        <w:t xml:space="preserve">a. </w:t>
      </w:r>
      <w:proofErr w:type="gramStart"/>
      <w:r w:rsidRPr="00220516">
        <w:rPr>
          <w:bCs/>
        </w:rPr>
        <w:t>not award</w:t>
      </w:r>
      <w:proofErr w:type="gramEnd"/>
      <w:r w:rsidRPr="00220516">
        <w:rPr>
          <w:bCs/>
        </w:rPr>
        <w:t xml:space="preserve"> relief to ratepayers who for the same period of the relief either are or would have been eligible for the Extended Retail Discount (covering Retail, Hospitality and Leisure), the Nursery Discount or the Airport and Ground Operations Support Scheme (AGOSS),</w:t>
      </w:r>
    </w:p>
    <w:p w14:paraId="2999CB1F" w14:textId="3AC81F23" w:rsidR="00220516" w:rsidRDefault="00220516" w:rsidP="00220516">
      <w:pPr>
        <w:tabs>
          <w:tab w:val="left" w:pos="8309"/>
        </w:tabs>
        <w:ind w:left="1440" w:right="-55"/>
        <w:jc w:val="both"/>
        <w:rPr>
          <w:bCs/>
        </w:rPr>
      </w:pPr>
      <w:r>
        <w:rPr>
          <w:bCs/>
        </w:rPr>
        <w:tab/>
      </w:r>
      <w:r w:rsidRPr="00220516">
        <w:rPr>
          <w:bCs/>
        </w:rPr>
        <w:t xml:space="preserve">b. </w:t>
      </w:r>
      <w:proofErr w:type="gramStart"/>
      <w:r w:rsidRPr="00220516">
        <w:rPr>
          <w:bCs/>
        </w:rPr>
        <w:t>not award</w:t>
      </w:r>
      <w:proofErr w:type="gramEnd"/>
      <w:r w:rsidRPr="00220516">
        <w:rPr>
          <w:bCs/>
        </w:rPr>
        <w:t xml:space="preserve"> relief to a hereditament for a period when it is unoccupied (other than hereditaments which have become closed temporarily due to the government’s advice on COVID-19, which should be treated as occupied for the purposes of this relief), and</w:t>
      </w:r>
    </w:p>
    <w:p w14:paraId="2A5F4D65" w14:textId="2528E0B4" w:rsidR="008A17BC" w:rsidRDefault="008A17BC" w:rsidP="00220516">
      <w:pPr>
        <w:tabs>
          <w:tab w:val="left" w:pos="8309"/>
        </w:tabs>
        <w:ind w:left="1440" w:right="-55"/>
        <w:jc w:val="both"/>
        <w:rPr>
          <w:bCs/>
        </w:rPr>
      </w:pPr>
    </w:p>
    <w:p w14:paraId="3A052EE3" w14:textId="3E872797" w:rsidR="008A17BC" w:rsidRDefault="008A17BC" w:rsidP="00220516">
      <w:pPr>
        <w:tabs>
          <w:tab w:val="left" w:pos="8309"/>
        </w:tabs>
        <w:ind w:left="1440" w:right="-55"/>
        <w:jc w:val="both"/>
        <w:rPr>
          <w:bCs/>
        </w:rPr>
      </w:pPr>
      <w:r>
        <w:rPr>
          <w:bCs/>
        </w:rPr>
        <w:t xml:space="preserve">c. </w:t>
      </w:r>
      <w:proofErr w:type="gramStart"/>
      <w:r>
        <w:rPr>
          <w:bCs/>
        </w:rPr>
        <w:t>not award</w:t>
      </w:r>
      <w:proofErr w:type="gramEnd"/>
      <w:r>
        <w:rPr>
          <w:bCs/>
        </w:rPr>
        <w:t xml:space="preserve"> relief to a hereditament</w:t>
      </w:r>
      <w:r w:rsidR="000F68A5">
        <w:rPr>
          <w:bCs/>
        </w:rPr>
        <w:t xml:space="preserve"> where the business paid no business rates due to the fact that it received 100% Small Business Rate Relief</w:t>
      </w:r>
      <w:r w:rsidR="00CB259F">
        <w:rPr>
          <w:bCs/>
        </w:rPr>
        <w:t>.</w:t>
      </w:r>
    </w:p>
    <w:p w14:paraId="62069881" w14:textId="17006465" w:rsidR="00776AF0" w:rsidRDefault="00776AF0" w:rsidP="00220516">
      <w:pPr>
        <w:tabs>
          <w:tab w:val="left" w:pos="8309"/>
        </w:tabs>
        <w:ind w:left="1440" w:right="-55"/>
        <w:jc w:val="both"/>
        <w:rPr>
          <w:bCs/>
        </w:rPr>
      </w:pPr>
    </w:p>
    <w:p w14:paraId="05182214" w14:textId="0D2C22BD" w:rsidR="00776AF0" w:rsidRDefault="00776AF0" w:rsidP="00220516">
      <w:pPr>
        <w:tabs>
          <w:tab w:val="left" w:pos="8309"/>
        </w:tabs>
        <w:ind w:left="1440" w:right="-55"/>
        <w:jc w:val="both"/>
        <w:rPr>
          <w:bCs/>
        </w:rPr>
      </w:pPr>
      <w:r>
        <w:rPr>
          <w:bCs/>
        </w:rPr>
        <w:t xml:space="preserve">d. </w:t>
      </w:r>
      <w:r w:rsidR="00FF0CA0">
        <w:rPr>
          <w:bCs/>
        </w:rPr>
        <w:t xml:space="preserve">local authorities must </w:t>
      </w:r>
      <w:r w:rsidRPr="00776AF0">
        <w:rPr>
          <w:bCs/>
        </w:rPr>
        <w:t>direct their support towards ratepayers who have been adversely affected by the pandemic and have been unable to adequately adapt to that impact.</w:t>
      </w:r>
    </w:p>
    <w:p w14:paraId="713D5558" w14:textId="77777777" w:rsidR="00FF0CA0" w:rsidRPr="00220516" w:rsidRDefault="00FF0CA0" w:rsidP="00220516">
      <w:pPr>
        <w:tabs>
          <w:tab w:val="left" w:pos="8309"/>
        </w:tabs>
        <w:ind w:left="1440" w:right="-55"/>
        <w:jc w:val="both"/>
        <w:rPr>
          <w:bCs/>
        </w:rPr>
      </w:pPr>
    </w:p>
    <w:p w14:paraId="322F1420" w14:textId="1A404AC2" w:rsidR="00AA3402" w:rsidRDefault="00396307" w:rsidP="00396307">
      <w:pPr>
        <w:tabs>
          <w:tab w:val="left" w:pos="8309"/>
        </w:tabs>
        <w:ind w:left="709" w:right="-55"/>
        <w:jc w:val="both"/>
        <w:rPr>
          <w:bCs/>
        </w:rPr>
      </w:pPr>
      <w:r>
        <w:rPr>
          <w:bCs/>
        </w:rPr>
        <w:t>As a very large number of businesses</w:t>
      </w:r>
      <w:r w:rsidR="00B34842">
        <w:rPr>
          <w:bCs/>
        </w:rPr>
        <w:t xml:space="preserve"> </w:t>
      </w:r>
      <w:r w:rsidR="00B32BE7">
        <w:rPr>
          <w:bCs/>
        </w:rPr>
        <w:t xml:space="preserve">in Harrow </w:t>
      </w:r>
      <w:r w:rsidR="00B34842">
        <w:rPr>
          <w:bCs/>
        </w:rPr>
        <w:t xml:space="preserve">have already received </w:t>
      </w:r>
      <w:r w:rsidR="00CB259F">
        <w:rPr>
          <w:bCs/>
        </w:rPr>
        <w:t>t</w:t>
      </w:r>
      <w:r w:rsidR="00AA3402">
        <w:rPr>
          <w:bCs/>
        </w:rPr>
        <w:t>h</w:t>
      </w:r>
      <w:r w:rsidR="00B34842">
        <w:rPr>
          <w:bCs/>
        </w:rPr>
        <w:t xml:space="preserve">e </w:t>
      </w:r>
      <w:r w:rsidR="00AA3402">
        <w:rPr>
          <w:bCs/>
        </w:rPr>
        <w:t>above reliefs or pay no business rates</w:t>
      </w:r>
      <w:r w:rsidR="006F5639">
        <w:rPr>
          <w:bCs/>
        </w:rPr>
        <w:t xml:space="preserve"> due to receiving 100% </w:t>
      </w:r>
      <w:r w:rsidR="00BA119B">
        <w:rPr>
          <w:bCs/>
        </w:rPr>
        <w:t>reliefs</w:t>
      </w:r>
      <w:r w:rsidR="00AA3402">
        <w:rPr>
          <w:bCs/>
        </w:rPr>
        <w:t xml:space="preserve">, it is anticipated that </w:t>
      </w:r>
      <w:r w:rsidR="00CF4480">
        <w:rPr>
          <w:bCs/>
        </w:rPr>
        <w:t>around 1400 businesses may be eligible</w:t>
      </w:r>
      <w:r w:rsidR="002C4B3A">
        <w:rPr>
          <w:bCs/>
        </w:rPr>
        <w:t xml:space="preserve"> with approximately 400 potentially meeting p</w:t>
      </w:r>
      <w:r w:rsidR="00CC1A35">
        <w:rPr>
          <w:bCs/>
        </w:rPr>
        <w:t>oint</w:t>
      </w:r>
      <w:r w:rsidR="002C4B3A">
        <w:rPr>
          <w:bCs/>
        </w:rPr>
        <w:t xml:space="preserve"> (d</w:t>
      </w:r>
      <w:r w:rsidR="00CC1A35">
        <w:rPr>
          <w:bCs/>
        </w:rPr>
        <w:t>)</w:t>
      </w:r>
      <w:r w:rsidR="002C4B3A">
        <w:rPr>
          <w:bCs/>
        </w:rPr>
        <w:t xml:space="preserve"> above.</w:t>
      </w:r>
      <w:r w:rsidR="00B40F03">
        <w:rPr>
          <w:bCs/>
        </w:rPr>
        <w:t xml:space="preserve"> </w:t>
      </w:r>
    </w:p>
    <w:p w14:paraId="095F3C49" w14:textId="25985FD0" w:rsidR="00B10F17" w:rsidRDefault="00B10F17" w:rsidP="00396307">
      <w:pPr>
        <w:tabs>
          <w:tab w:val="left" w:pos="8309"/>
        </w:tabs>
        <w:ind w:left="709" w:right="-55"/>
        <w:jc w:val="both"/>
        <w:rPr>
          <w:bCs/>
        </w:rPr>
      </w:pPr>
    </w:p>
    <w:p w14:paraId="61A0773E" w14:textId="63B86490" w:rsidR="00B10F17" w:rsidRDefault="00B10F17" w:rsidP="00396307">
      <w:pPr>
        <w:tabs>
          <w:tab w:val="left" w:pos="8309"/>
        </w:tabs>
        <w:ind w:left="709" w:right="-55"/>
        <w:jc w:val="both"/>
        <w:rPr>
          <w:bCs/>
        </w:rPr>
      </w:pPr>
      <w:r>
        <w:rPr>
          <w:bCs/>
        </w:rPr>
        <w:t>Once the scheme is approved, officers intend to open an application process o</w:t>
      </w:r>
      <w:r w:rsidR="006D209C">
        <w:rPr>
          <w:bCs/>
        </w:rPr>
        <w:t>n-</w:t>
      </w:r>
      <w:r>
        <w:rPr>
          <w:bCs/>
        </w:rPr>
        <w:t>line</w:t>
      </w:r>
      <w:r w:rsidR="00EF12D8">
        <w:rPr>
          <w:bCs/>
        </w:rPr>
        <w:t>.</w:t>
      </w:r>
      <w:r w:rsidR="00D66E6E">
        <w:rPr>
          <w:bCs/>
        </w:rPr>
        <w:t xml:space="preserve"> It is </w:t>
      </w:r>
      <w:r w:rsidR="00C175AB">
        <w:rPr>
          <w:bCs/>
        </w:rPr>
        <w:t>planned to issue</w:t>
      </w:r>
      <w:r w:rsidR="00D66E6E">
        <w:rPr>
          <w:bCs/>
        </w:rPr>
        <w:t xml:space="preserve"> </w:t>
      </w:r>
      <w:r w:rsidR="00630908">
        <w:rPr>
          <w:bCs/>
        </w:rPr>
        <w:t>communications via social media, Harrow’s website and the Busi</w:t>
      </w:r>
      <w:r w:rsidR="0025202E">
        <w:rPr>
          <w:bCs/>
        </w:rPr>
        <w:t>ne</w:t>
      </w:r>
      <w:r w:rsidR="00630908">
        <w:rPr>
          <w:bCs/>
        </w:rPr>
        <w:t>ss community</w:t>
      </w:r>
      <w:r w:rsidR="0025202E">
        <w:rPr>
          <w:bCs/>
        </w:rPr>
        <w:t xml:space="preserve"> contacts to ensure</w:t>
      </w:r>
      <w:r w:rsidR="006760C4">
        <w:rPr>
          <w:bCs/>
        </w:rPr>
        <w:t xml:space="preserve"> wide</w:t>
      </w:r>
      <w:r w:rsidR="0025202E">
        <w:rPr>
          <w:bCs/>
        </w:rPr>
        <w:t xml:space="preserve"> awareness</w:t>
      </w:r>
      <w:r w:rsidR="000F7FE8">
        <w:rPr>
          <w:bCs/>
        </w:rPr>
        <w:t xml:space="preserve"> of the scheme.</w:t>
      </w:r>
    </w:p>
    <w:p w14:paraId="2178C628" w14:textId="77777777" w:rsidR="00AA3402" w:rsidRDefault="00AA3402" w:rsidP="00396307">
      <w:pPr>
        <w:tabs>
          <w:tab w:val="left" w:pos="8309"/>
        </w:tabs>
        <w:ind w:left="709" w:right="-55"/>
        <w:jc w:val="both"/>
        <w:rPr>
          <w:bCs/>
        </w:rPr>
      </w:pPr>
    </w:p>
    <w:p w14:paraId="1BD4EAA3" w14:textId="1A9B4B7C" w:rsidR="00B470D9" w:rsidRPr="005A5E9F" w:rsidRDefault="00CE39F9" w:rsidP="00B470D9">
      <w:pPr>
        <w:pStyle w:val="Default"/>
        <w:rPr>
          <w:u w:val="single"/>
        </w:rPr>
      </w:pPr>
      <w:r>
        <w:rPr>
          <w:color w:val="auto"/>
          <w:sz w:val="23"/>
          <w:szCs w:val="23"/>
        </w:rPr>
        <w:t>2.2</w:t>
      </w:r>
      <w:r w:rsidR="00B470D9">
        <w:rPr>
          <w:b/>
        </w:rPr>
        <w:tab/>
      </w:r>
      <w:r w:rsidR="00B470D9" w:rsidRPr="005A5E9F">
        <w:rPr>
          <w:u w:val="single"/>
        </w:rPr>
        <w:t>Cost of Scheme</w:t>
      </w:r>
    </w:p>
    <w:p w14:paraId="523A2D54" w14:textId="10F7103B" w:rsidR="00B470D9" w:rsidRDefault="00B470D9" w:rsidP="00B470D9">
      <w:pPr>
        <w:pStyle w:val="Default"/>
        <w:ind w:left="720"/>
        <w:jc w:val="both"/>
        <w:rPr>
          <w:bCs/>
          <w:color w:val="auto"/>
        </w:rPr>
      </w:pPr>
      <w:r w:rsidRPr="00E41952">
        <w:rPr>
          <w:bCs/>
          <w:color w:val="auto"/>
        </w:rPr>
        <w:t xml:space="preserve">The government will </w:t>
      </w:r>
      <w:r>
        <w:rPr>
          <w:bCs/>
          <w:color w:val="auto"/>
        </w:rPr>
        <w:t>reimburse</w:t>
      </w:r>
      <w:r w:rsidRPr="00E41952">
        <w:rPr>
          <w:bCs/>
          <w:color w:val="auto"/>
        </w:rPr>
        <w:t xml:space="preserve"> Harrow </w:t>
      </w:r>
      <w:r>
        <w:rPr>
          <w:bCs/>
          <w:color w:val="auto"/>
        </w:rPr>
        <w:t xml:space="preserve">Council </w:t>
      </w:r>
      <w:r w:rsidRPr="00E41952">
        <w:rPr>
          <w:bCs/>
          <w:color w:val="auto"/>
        </w:rPr>
        <w:t xml:space="preserve">for </w:t>
      </w:r>
      <w:r w:rsidR="00C25BEE">
        <w:rPr>
          <w:bCs/>
          <w:color w:val="auto"/>
        </w:rPr>
        <w:t xml:space="preserve">any relief </w:t>
      </w:r>
      <w:r w:rsidR="00A71EC9">
        <w:rPr>
          <w:bCs/>
          <w:color w:val="auto"/>
        </w:rPr>
        <w:t>awarded via</w:t>
      </w:r>
      <w:r w:rsidRPr="00E41952">
        <w:rPr>
          <w:bCs/>
          <w:color w:val="auto"/>
        </w:rPr>
        <w:t xml:space="preserve"> this initiative.  </w:t>
      </w:r>
      <w:r>
        <w:rPr>
          <w:bCs/>
          <w:color w:val="auto"/>
        </w:rPr>
        <w:t>Awards</w:t>
      </w:r>
      <w:r w:rsidRPr="00E41952">
        <w:rPr>
          <w:bCs/>
          <w:color w:val="auto"/>
        </w:rPr>
        <w:t xml:space="preserve"> will be fully compensated via s31 grant and there will be no cost to </w:t>
      </w:r>
      <w:r>
        <w:rPr>
          <w:bCs/>
          <w:color w:val="auto"/>
        </w:rPr>
        <w:t>the Council</w:t>
      </w:r>
      <w:r w:rsidRPr="00E41952">
        <w:rPr>
          <w:bCs/>
          <w:color w:val="auto"/>
        </w:rPr>
        <w:t xml:space="preserve">. </w:t>
      </w:r>
    </w:p>
    <w:p w14:paraId="1CE9DF9C" w14:textId="77777777" w:rsidR="00B470D9" w:rsidRDefault="00B470D9" w:rsidP="00B470D9">
      <w:pPr>
        <w:pStyle w:val="Default"/>
        <w:ind w:left="720"/>
        <w:jc w:val="both"/>
        <w:rPr>
          <w:bCs/>
          <w:color w:val="auto"/>
        </w:rPr>
      </w:pPr>
    </w:p>
    <w:p w14:paraId="5CAF2B95" w14:textId="31102220" w:rsidR="00B470D9" w:rsidRPr="005A5E9F" w:rsidRDefault="00CE39F9" w:rsidP="00B470D9">
      <w:pPr>
        <w:rPr>
          <w:b/>
          <w:sz w:val="28"/>
          <w:szCs w:val="28"/>
          <w:u w:val="single"/>
        </w:rPr>
      </w:pPr>
      <w:r>
        <w:rPr>
          <w:b/>
          <w:sz w:val="28"/>
          <w:szCs w:val="28"/>
        </w:rPr>
        <w:t>2.3</w:t>
      </w:r>
      <w:r w:rsidR="00B470D9" w:rsidRPr="00921EE5">
        <w:rPr>
          <w:b/>
          <w:sz w:val="28"/>
          <w:szCs w:val="28"/>
        </w:rPr>
        <w:tab/>
      </w:r>
      <w:r w:rsidR="00B470D9" w:rsidRPr="00240D73">
        <w:rPr>
          <w:b/>
          <w:sz w:val="28"/>
          <w:szCs w:val="28"/>
        </w:rPr>
        <w:t>Recommendation</w:t>
      </w:r>
    </w:p>
    <w:p w14:paraId="4727D177" w14:textId="5AA38E34" w:rsidR="00B470D9" w:rsidRDefault="00B470D9" w:rsidP="00B470D9">
      <w:pPr>
        <w:tabs>
          <w:tab w:val="left" w:pos="709"/>
        </w:tabs>
        <w:ind w:left="708" w:right="-55" w:hanging="708"/>
        <w:jc w:val="both"/>
        <w:rPr>
          <w:rFonts w:cs="Arial"/>
        </w:rPr>
      </w:pPr>
      <w:r>
        <w:rPr>
          <w:color w:val="000000"/>
          <w:szCs w:val="24"/>
        </w:rPr>
        <w:tab/>
      </w:r>
      <w:r>
        <w:rPr>
          <w:rFonts w:cs="Arial"/>
        </w:rPr>
        <w:t xml:space="preserve">For the reasons articulated above in this report, it is recommended that Cabinet </w:t>
      </w:r>
      <w:r w:rsidR="001A62AE">
        <w:rPr>
          <w:rFonts w:cs="Arial"/>
        </w:rPr>
        <w:t xml:space="preserve">approves the </w:t>
      </w:r>
      <w:r>
        <w:rPr>
          <w:rFonts w:cs="Arial"/>
        </w:rPr>
        <w:t xml:space="preserve">exercising of discretion under s47, and approves the </w:t>
      </w:r>
      <w:r w:rsidR="00D4150E">
        <w:rPr>
          <w:rFonts w:cs="Arial"/>
        </w:rPr>
        <w:t>CARF</w:t>
      </w:r>
      <w:r>
        <w:rPr>
          <w:rFonts w:cs="Arial"/>
        </w:rPr>
        <w:t xml:space="preserve"> scheme proposed, allowing the appropriate relief to be awarded for eligible commercial premises. This will reduce the rates liability for specific traders and will ensure support is granted to the local economy.</w:t>
      </w:r>
    </w:p>
    <w:p w14:paraId="5D9B9001" w14:textId="77777777" w:rsidR="00B470D9" w:rsidRDefault="00B470D9" w:rsidP="00B470D9">
      <w:pPr>
        <w:tabs>
          <w:tab w:val="left" w:pos="709"/>
        </w:tabs>
        <w:ind w:left="708" w:right="-55" w:hanging="708"/>
        <w:jc w:val="both"/>
        <w:rPr>
          <w:color w:val="000000"/>
          <w:szCs w:val="24"/>
        </w:rPr>
      </w:pPr>
    </w:p>
    <w:p w14:paraId="757D2CF6" w14:textId="60E8AA3B" w:rsidR="0046206D" w:rsidRDefault="00B470D9" w:rsidP="00B470D9">
      <w:pPr>
        <w:tabs>
          <w:tab w:val="left" w:pos="709"/>
        </w:tabs>
        <w:ind w:left="708" w:right="-55" w:hanging="708"/>
        <w:jc w:val="both"/>
        <w:rPr>
          <w:color w:val="000000"/>
          <w:szCs w:val="24"/>
        </w:rPr>
      </w:pPr>
      <w:r>
        <w:rPr>
          <w:color w:val="000000"/>
          <w:szCs w:val="24"/>
        </w:rPr>
        <w:tab/>
        <w:t xml:space="preserve">The proposed scheme will </w:t>
      </w:r>
      <w:r w:rsidR="007534EC">
        <w:rPr>
          <w:color w:val="000000"/>
          <w:szCs w:val="24"/>
        </w:rPr>
        <w:t>operate for the financial year 202</w:t>
      </w:r>
      <w:r w:rsidR="006F7257">
        <w:rPr>
          <w:color w:val="000000"/>
          <w:szCs w:val="24"/>
        </w:rPr>
        <w:t>1</w:t>
      </w:r>
      <w:r w:rsidR="007534EC">
        <w:rPr>
          <w:color w:val="000000"/>
          <w:szCs w:val="24"/>
        </w:rPr>
        <w:t>/2</w:t>
      </w:r>
      <w:r w:rsidR="006F7257">
        <w:rPr>
          <w:color w:val="000000"/>
          <w:szCs w:val="24"/>
        </w:rPr>
        <w:t>2</w:t>
      </w:r>
      <w:r w:rsidR="007534EC">
        <w:rPr>
          <w:color w:val="000000"/>
          <w:szCs w:val="24"/>
        </w:rPr>
        <w:t xml:space="preserve"> </w:t>
      </w:r>
      <w:r w:rsidR="00867BE3">
        <w:rPr>
          <w:color w:val="000000"/>
          <w:szCs w:val="24"/>
        </w:rPr>
        <w:t>T</w:t>
      </w:r>
      <w:r w:rsidR="007534EC">
        <w:rPr>
          <w:color w:val="000000"/>
          <w:szCs w:val="24"/>
        </w:rPr>
        <w:t>herefore awards will be made</w:t>
      </w:r>
      <w:r w:rsidR="00664D63">
        <w:rPr>
          <w:color w:val="000000"/>
          <w:szCs w:val="24"/>
        </w:rPr>
        <w:t xml:space="preserve"> retrospectively</w:t>
      </w:r>
      <w:r w:rsidR="007534EC">
        <w:rPr>
          <w:color w:val="000000"/>
          <w:szCs w:val="24"/>
        </w:rPr>
        <w:t xml:space="preserve"> in respect of the period 1/4/2</w:t>
      </w:r>
      <w:r w:rsidR="006F7257">
        <w:rPr>
          <w:color w:val="000000"/>
          <w:szCs w:val="24"/>
        </w:rPr>
        <w:t>1</w:t>
      </w:r>
      <w:r w:rsidR="007534EC">
        <w:rPr>
          <w:color w:val="000000"/>
          <w:szCs w:val="24"/>
        </w:rPr>
        <w:t xml:space="preserve"> to 31/</w:t>
      </w:r>
      <w:r w:rsidR="0046206D">
        <w:rPr>
          <w:color w:val="000000"/>
          <w:szCs w:val="24"/>
        </w:rPr>
        <w:t>03/202</w:t>
      </w:r>
      <w:r w:rsidR="006F7257">
        <w:rPr>
          <w:color w:val="000000"/>
          <w:szCs w:val="24"/>
        </w:rPr>
        <w:t>2</w:t>
      </w:r>
      <w:r w:rsidR="0046206D">
        <w:rPr>
          <w:color w:val="000000"/>
          <w:szCs w:val="24"/>
        </w:rPr>
        <w:t xml:space="preserve"> only.</w:t>
      </w:r>
    </w:p>
    <w:p w14:paraId="0E792614" w14:textId="58B67E91" w:rsidR="002771E0" w:rsidRDefault="002771E0" w:rsidP="00B470D9">
      <w:pPr>
        <w:tabs>
          <w:tab w:val="left" w:pos="709"/>
        </w:tabs>
        <w:ind w:left="708" w:right="-55" w:hanging="708"/>
        <w:jc w:val="both"/>
        <w:rPr>
          <w:color w:val="000000"/>
          <w:szCs w:val="24"/>
        </w:rPr>
      </w:pPr>
    </w:p>
    <w:p w14:paraId="6AF495BB" w14:textId="5BE9E87A" w:rsidR="00B470D9" w:rsidRPr="00B11A96" w:rsidRDefault="00B470D9" w:rsidP="00B470D9">
      <w:pPr>
        <w:jc w:val="both"/>
        <w:outlineLvl w:val="2"/>
        <w:rPr>
          <w:rFonts w:cs="Arial"/>
          <w:b/>
          <w:bCs/>
          <w:szCs w:val="24"/>
        </w:rPr>
      </w:pPr>
      <w:r>
        <w:rPr>
          <w:rFonts w:cs="Arial"/>
          <w:b/>
          <w:bCs/>
          <w:szCs w:val="24"/>
        </w:rPr>
        <w:t>2.</w:t>
      </w:r>
      <w:r w:rsidR="00CE39F9">
        <w:rPr>
          <w:rFonts w:cs="Arial"/>
          <w:b/>
          <w:bCs/>
          <w:szCs w:val="24"/>
        </w:rPr>
        <w:t>4</w:t>
      </w:r>
      <w:r>
        <w:rPr>
          <w:rFonts w:cs="Arial"/>
          <w:b/>
          <w:bCs/>
          <w:szCs w:val="24"/>
        </w:rPr>
        <w:tab/>
      </w:r>
      <w:r w:rsidRPr="00974269">
        <w:rPr>
          <w:rFonts w:cs="Arial"/>
          <w:b/>
          <w:bCs/>
          <w:sz w:val="28"/>
          <w:szCs w:val="28"/>
        </w:rPr>
        <w:t>Legal Implications</w:t>
      </w:r>
    </w:p>
    <w:p w14:paraId="44210D23" w14:textId="77777777" w:rsidR="00B470D9" w:rsidRDefault="00B470D9" w:rsidP="00B470D9">
      <w:pPr>
        <w:tabs>
          <w:tab w:val="left" w:pos="8309"/>
        </w:tabs>
        <w:ind w:left="709" w:right="-55"/>
        <w:jc w:val="both"/>
        <w:rPr>
          <w:bCs/>
        </w:rPr>
      </w:pPr>
      <w:r w:rsidRPr="0047502B">
        <w:rPr>
          <w:bCs/>
        </w:rPr>
        <w:t>The Council, as a billing authority, is empowered to</w:t>
      </w:r>
      <w:r>
        <w:rPr>
          <w:bCs/>
        </w:rPr>
        <w:t xml:space="preserve"> </w:t>
      </w:r>
      <w:r w:rsidRPr="00C43E84">
        <w:rPr>
          <w:rFonts w:eastAsia="Calibri" w:cs="Arial"/>
          <w:szCs w:val="24"/>
        </w:rPr>
        <w:t>award discretionary rate relief</w:t>
      </w:r>
      <w:r>
        <w:rPr>
          <w:rFonts w:eastAsia="Calibri" w:cs="Arial"/>
          <w:szCs w:val="24"/>
        </w:rPr>
        <w:t xml:space="preserve"> under </w:t>
      </w:r>
      <w:r w:rsidRPr="00C43E84">
        <w:rPr>
          <w:rFonts w:eastAsia="Calibri" w:cs="Arial"/>
          <w:szCs w:val="24"/>
        </w:rPr>
        <w:t xml:space="preserve">s47 of The Local Government Finance Act 1988, </w:t>
      </w:r>
      <w:r>
        <w:rPr>
          <w:rFonts w:eastAsia="Calibri" w:cs="Arial"/>
          <w:szCs w:val="24"/>
        </w:rPr>
        <w:t>as</w:t>
      </w:r>
      <w:r w:rsidRPr="00C43E84">
        <w:rPr>
          <w:rFonts w:eastAsia="Calibri" w:cs="Arial"/>
          <w:szCs w:val="24"/>
        </w:rPr>
        <w:t xml:space="preserve"> amended by s69 of the Localism Act 2011. T</w:t>
      </w:r>
      <w:r>
        <w:rPr>
          <w:rFonts w:eastAsia="Calibri" w:cs="Arial"/>
          <w:szCs w:val="24"/>
        </w:rPr>
        <w:t>he latter</w:t>
      </w:r>
      <w:r w:rsidRPr="00C43E84">
        <w:rPr>
          <w:rFonts w:eastAsia="Calibri" w:cs="Arial"/>
          <w:szCs w:val="24"/>
        </w:rPr>
        <w:t xml:space="preserve"> widened the scope of s47 to enable billing authorities to award discre</w:t>
      </w:r>
      <w:r>
        <w:rPr>
          <w:rFonts w:eastAsia="Calibri" w:cs="Arial"/>
          <w:szCs w:val="24"/>
        </w:rPr>
        <w:t xml:space="preserve">tionary relief to any </w:t>
      </w:r>
      <w:r>
        <w:rPr>
          <w:rFonts w:eastAsia="Calibri" w:cs="Arial"/>
          <w:szCs w:val="24"/>
        </w:rPr>
        <w:lastRenderedPageBreak/>
        <w:t>ratepayer</w:t>
      </w:r>
      <w:r w:rsidRPr="00C43E84">
        <w:rPr>
          <w:rFonts w:eastAsia="Calibri" w:cs="Arial"/>
          <w:szCs w:val="24"/>
        </w:rPr>
        <w:t xml:space="preserve">. </w:t>
      </w:r>
      <w:r>
        <w:rPr>
          <w:rFonts w:eastAsia="Calibri" w:cs="Arial"/>
          <w:szCs w:val="24"/>
        </w:rPr>
        <w:t>H</w:t>
      </w:r>
      <w:r>
        <w:rPr>
          <w:bCs/>
        </w:rPr>
        <w:t xml:space="preserve">arrow Council will deliver the scheme </w:t>
      </w:r>
      <w:proofErr w:type="gramStart"/>
      <w:r>
        <w:rPr>
          <w:bCs/>
        </w:rPr>
        <w:t>through the use of</w:t>
      </w:r>
      <w:proofErr w:type="gramEnd"/>
      <w:r>
        <w:rPr>
          <w:bCs/>
        </w:rPr>
        <w:t xml:space="preserve"> its existing discretionary relief powers. </w:t>
      </w:r>
    </w:p>
    <w:p w14:paraId="4301C843" w14:textId="77777777" w:rsidR="00B470D9" w:rsidRDefault="00B470D9" w:rsidP="00B470D9">
      <w:pPr>
        <w:tabs>
          <w:tab w:val="left" w:pos="8309"/>
        </w:tabs>
        <w:ind w:left="709" w:right="-55"/>
        <w:jc w:val="both"/>
        <w:rPr>
          <w:bCs/>
        </w:rPr>
      </w:pPr>
    </w:p>
    <w:p w14:paraId="366C964C" w14:textId="608A6D2A" w:rsidR="00B470D9" w:rsidRDefault="00B470D9" w:rsidP="004C38E1">
      <w:pPr>
        <w:autoSpaceDE w:val="0"/>
        <w:autoSpaceDN w:val="0"/>
        <w:adjustRightInd w:val="0"/>
        <w:ind w:left="709"/>
        <w:jc w:val="both"/>
        <w:rPr>
          <w:rFonts w:cs="Arial"/>
          <w:szCs w:val="24"/>
          <w:lang w:eastAsia="en-GB"/>
        </w:rPr>
      </w:pPr>
      <w:r>
        <w:rPr>
          <w:rFonts w:cs="Arial"/>
          <w:szCs w:val="24"/>
          <w:lang w:eastAsia="en-GB"/>
        </w:rPr>
        <w:t xml:space="preserve">The proposed scheme </w:t>
      </w:r>
      <w:r w:rsidR="004713EF">
        <w:rPr>
          <w:rFonts w:cs="Arial"/>
          <w:szCs w:val="24"/>
          <w:lang w:eastAsia="en-GB"/>
        </w:rPr>
        <w:t>will utilise this flexibility</w:t>
      </w:r>
      <w:r w:rsidR="00751675">
        <w:rPr>
          <w:rFonts w:cs="Arial"/>
          <w:szCs w:val="24"/>
          <w:lang w:eastAsia="en-GB"/>
        </w:rPr>
        <w:t xml:space="preserve"> to grant CARF relief and for determining the amounts given</w:t>
      </w:r>
      <w:r>
        <w:rPr>
          <w:rFonts w:cs="Arial"/>
          <w:szCs w:val="24"/>
          <w:lang w:eastAsia="en-GB"/>
        </w:rPr>
        <w:t xml:space="preserve"> for the stated specific year, so Harrow Council can support local ratepayers who meet the Council’s eligibility criteria.</w:t>
      </w:r>
    </w:p>
    <w:p w14:paraId="7ECEA0EC" w14:textId="77777777" w:rsidR="00B470D9" w:rsidRDefault="00B470D9" w:rsidP="00B470D9">
      <w:pPr>
        <w:autoSpaceDE w:val="0"/>
        <w:autoSpaceDN w:val="0"/>
        <w:adjustRightInd w:val="0"/>
        <w:jc w:val="both"/>
        <w:rPr>
          <w:rFonts w:cs="Arial"/>
          <w:szCs w:val="24"/>
          <w:lang w:eastAsia="en-GB"/>
        </w:rPr>
      </w:pPr>
    </w:p>
    <w:p w14:paraId="58006A3B" w14:textId="77777777" w:rsidR="00B470D9" w:rsidRDefault="00B470D9" w:rsidP="00B470D9">
      <w:pPr>
        <w:autoSpaceDE w:val="0"/>
        <w:autoSpaceDN w:val="0"/>
        <w:adjustRightInd w:val="0"/>
        <w:ind w:left="720"/>
        <w:jc w:val="both"/>
        <w:rPr>
          <w:rFonts w:cs="Arial"/>
          <w:szCs w:val="24"/>
          <w:lang w:eastAsia="en-GB"/>
        </w:rPr>
      </w:pPr>
      <w:r>
        <w:rPr>
          <w:rFonts w:cs="Arial"/>
          <w:szCs w:val="24"/>
          <w:lang w:eastAsia="en-GB"/>
        </w:rPr>
        <w:t xml:space="preserve">Whilst the Council has the power to award discretionary rate relief to businesses as it thinks fit, the Council can only exercise its discretion if it is reasonable to do so having regard to the interests of local council </w:t>
      </w:r>
      <w:proofErr w:type="gramStart"/>
      <w:r>
        <w:rPr>
          <w:rFonts w:cs="Arial"/>
          <w:szCs w:val="24"/>
          <w:lang w:eastAsia="en-GB"/>
        </w:rPr>
        <w:t>tax payers</w:t>
      </w:r>
      <w:proofErr w:type="gramEnd"/>
      <w:r>
        <w:rPr>
          <w:rFonts w:cs="Arial"/>
          <w:szCs w:val="24"/>
          <w:lang w:eastAsia="en-GB"/>
        </w:rPr>
        <w:t xml:space="preserve"> and having elected to do so via a specific scheme or policy. </w:t>
      </w:r>
    </w:p>
    <w:p w14:paraId="22F833E0" w14:textId="77777777" w:rsidR="00B470D9" w:rsidRDefault="00B470D9" w:rsidP="00B470D9">
      <w:pPr>
        <w:autoSpaceDE w:val="0"/>
        <w:autoSpaceDN w:val="0"/>
        <w:adjustRightInd w:val="0"/>
        <w:ind w:left="720"/>
        <w:jc w:val="both"/>
        <w:rPr>
          <w:rFonts w:cs="Arial"/>
          <w:szCs w:val="24"/>
          <w:lang w:eastAsia="en-GB"/>
        </w:rPr>
      </w:pPr>
    </w:p>
    <w:p w14:paraId="26EAD512" w14:textId="00152CA0" w:rsidR="00B470D9" w:rsidRDefault="00B470D9" w:rsidP="00B470D9">
      <w:pPr>
        <w:autoSpaceDE w:val="0"/>
        <w:autoSpaceDN w:val="0"/>
        <w:adjustRightInd w:val="0"/>
        <w:ind w:left="720"/>
        <w:jc w:val="both"/>
        <w:rPr>
          <w:rFonts w:cs="Arial"/>
          <w:szCs w:val="24"/>
          <w:lang w:eastAsia="en-GB"/>
        </w:rPr>
      </w:pPr>
      <w:r>
        <w:rPr>
          <w:rFonts w:cs="Arial"/>
          <w:szCs w:val="24"/>
          <w:lang w:eastAsia="en-GB"/>
        </w:rPr>
        <w:t>Cabinet must also note that i</w:t>
      </w:r>
      <w:r w:rsidRPr="00F41317">
        <w:rPr>
          <w:rFonts w:cs="Arial"/>
          <w:szCs w:val="24"/>
          <w:lang w:eastAsia="en-GB"/>
        </w:rPr>
        <w:t xml:space="preserve">n making discretionary payments, the local authority will be expected to ensure it is </w:t>
      </w:r>
      <w:r w:rsidR="002F504D">
        <w:rPr>
          <w:rFonts w:cs="Arial"/>
          <w:szCs w:val="24"/>
          <w:lang w:eastAsia="en-GB"/>
        </w:rPr>
        <w:t>c</w:t>
      </w:r>
      <w:r w:rsidR="00A34075">
        <w:rPr>
          <w:rFonts w:cs="Arial"/>
          <w:szCs w:val="24"/>
          <w:lang w:eastAsia="en-GB"/>
        </w:rPr>
        <w:t xml:space="preserve">ompliant with its </w:t>
      </w:r>
      <w:r w:rsidR="00FF3909">
        <w:rPr>
          <w:rFonts w:cs="Arial"/>
          <w:szCs w:val="24"/>
          <w:lang w:eastAsia="en-GB"/>
        </w:rPr>
        <w:t>obligations</w:t>
      </w:r>
      <w:r w:rsidRPr="00F41317">
        <w:rPr>
          <w:rFonts w:cs="Arial"/>
          <w:szCs w:val="24"/>
          <w:lang w:eastAsia="en-GB"/>
        </w:rPr>
        <w:t xml:space="preserve"> </w:t>
      </w:r>
      <w:r w:rsidR="00A34075">
        <w:rPr>
          <w:rFonts w:cs="Arial"/>
          <w:szCs w:val="24"/>
          <w:lang w:eastAsia="en-GB"/>
        </w:rPr>
        <w:t>under the</w:t>
      </w:r>
      <w:r w:rsidRPr="00F41317">
        <w:rPr>
          <w:rFonts w:cs="Arial"/>
          <w:szCs w:val="24"/>
          <w:lang w:eastAsia="en-GB"/>
        </w:rPr>
        <w:t xml:space="preserve"> </w:t>
      </w:r>
      <w:r w:rsidR="00C848AE">
        <w:rPr>
          <w:rFonts w:cs="Arial"/>
          <w:szCs w:val="24"/>
          <w:lang w:eastAsia="en-GB"/>
        </w:rPr>
        <w:t>Permitted Subsidy Allowances (formerly known as State</w:t>
      </w:r>
      <w:r w:rsidRPr="00F41317">
        <w:rPr>
          <w:rFonts w:cs="Arial"/>
          <w:szCs w:val="24"/>
          <w:lang w:eastAsia="en-GB"/>
        </w:rPr>
        <w:t xml:space="preserve"> Aid</w:t>
      </w:r>
      <w:r w:rsidR="00F10F47">
        <w:rPr>
          <w:rFonts w:cs="Arial"/>
          <w:szCs w:val="24"/>
          <w:lang w:eastAsia="en-GB"/>
        </w:rPr>
        <w:t>)</w:t>
      </w:r>
      <w:r w:rsidRPr="00F41317">
        <w:rPr>
          <w:rFonts w:cs="Arial"/>
          <w:szCs w:val="24"/>
          <w:lang w:eastAsia="en-GB"/>
        </w:rPr>
        <w:t>.</w:t>
      </w:r>
    </w:p>
    <w:p w14:paraId="7B668961" w14:textId="27B1400E" w:rsidR="007F0398" w:rsidRDefault="007F0398" w:rsidP="00B470D9">
      <w:pPr>
        <w:autoSpaceDE w:val="0"/>
        <w:autoSpaceDN w:val="0"/>
        <w:adjustRightInd w:val="0"/>
        <w:ind w:left="720"/>
        <w:jc w:val="both"/>
        <w:rPr>
          <w:rFonts w:cs="Arial"/>
          <w:szCs w:val="24"/>
          <w:lang w:eastAsia="en-GB"/>
        </w:rPr>
      </w:pPr>
    </w:p>
    <w:p w14:paraId="07EF9963" w14:textId="77777777" w:rsidR="007F0398" w:rsidRDefault="007F0398" w:rsidP="007F0398">
      <w:pPr>
        <w:autoSpaceDE w:val="0"/>
        <w:autoSpaceDN w:val="0"/>
        <w:adjustRightInd w:val="0"/>
        <w:ind w:left="720"/>
        <w:jc w:val="both"/>
        <w:rPr>
          <w:rFonts w:cs="Arial"/>
          <w:szCs w:val="24"/>
          <w:lang w:eastAsia="en-GB"/>
        </w:rPr>
      </w:pPr>
      <w:r>
        <w:rPr>
          <w:rFonts w:cs="Arial"/>
          <w:szCs w:val="24"/>
          <w:lang w:eastAsia="en-GB"/>
        </w:rPr>
        <w:t>As the scheme is solely for the financial year commencing 1</w:t>
      </w:r>
      <w:r w:rsidRPr="00615400">
        <w:rPr>
          <w:rFonts w:cs="Arial"/>
          <w:szCs w:val="24"/>
          <w:vertAlign w:val="superscript"/>
          <w:lang w:eastAsia="en-GB"/>
        </w:rPr>
        <w:t>st</w:t>
      </w:r>
      <w:r>
        <w:rPr>
          <w:rFonts w:cs="Arial"/>
          <w:szCs w:val="24"/>
          <w:lang w:eastAsia="en-GB"/>
        </w:rPr>
        <w:t xml:space="preserve"> April 2021 and ending 31</w:t>
      </w:r>
      <w:r w:rsidRPr="00615400">
        <w:rPr>
          <w:rFonts w:cs="Arial"/>
          <w:szCs w:val="24"/>
          <w:vertAlign w:val="superscript"/>
          <w:lang w:eastAsia="en-GB"/>
        </w:rPr>
        <w:t>st</w:t>
      </w:r>
      <w:r>
        <w:rPr>
          <w:rFonts w:cs="Arial"/>
          <w:szCs w:val="24"/>
          <w:lang w:eastAsia="en-GB"/>
        </w:rPr>
        <w:t xml:space="preserve"> March 2022, applications for the relief must be determined by 30</w:t>
      </w:r>
      <w:r w:rsidRPr="00615400">
        <w:rPr>
          <w:rFonts w:cs="Arial"/>
          <w:szCs w:val="24"/>
          <w:vertAlign w:val="superscript"/>
          <w:lang w:eastAsia="en-GB"/>
        </w:rPr>
        <w:t>th</w:t>
      </w:r>
      <w:r>
        <w:rPr>
          <w:rFonts w:cs="Arial"/>
          <w:szCs w:val="24"/>
          <w:lang w:eastAsia="en-GB"/>
        </w:rPr>
        <w:t xml:space="preserve"> September 2022 </w:t>
      </w:r>
      <w:proofErr w:type="gramStart"/>
      <w:r>
        <w:rPr>
          <w:rFonts w:cs="Arial"/>
          <w:szCs w:val="24"/>
          <w:lang w:eastAsia="en-GB"/>
        </w:rPr>
        <w:t>in order to</w:t>
      </w:r>
      <w:proofErr w:type="gramEnd"/>
      <w:r>
        <w:rPr>
          <w:rFonts w:cs="Arial"/>
          <w:szCs w:val="24"/>
          <w:lang w:eastAsia="en-GB"/>
        </w:rPr>
        <w:t xml:space="preserve"> be eligible for backdating to 1</w:t>
      </w:r>
      <w:r w:rsidRPr="00615400">
        <w:rPr>
          <w:rFonts w:cs="Arial"/>
          <w:szCs w:val="24"/>
          <w:vertAlign w:val="superscript"/>
          <w:lang w:eastAsia="en-GB"/>
        </w:rPr>
        <w:t>st</w:t>
      </w:r>
      <w:r>
        <w:rPr>
          <w:rFonts w:cs="Arial"/>
          <w:szCs w:val="24"/>
          <w:lang w:eastAsia="en-GB"/>
        </w:rPr>
        <w:t xml:space="preserve"> April 2021.   </w:t>
      </w:r>
    </w:p>
    <w:p w14:paraId="55F32FA1" w14:textId="77777777" w:rsidR="007F0398" w:rsidRDefault="007F0398" w:rsidP="00B470D9">
      <w:pPr>
        <w:autoSpaceDE w:val="0"/>
        <w:autoSpaceDN w:val="0"/>
        <w:adjustRightInd w:val="0"/>
        <w:ind w:left="720"/>
        <w:jc w:val="both"/>
        <w:rPr>
          <w:rFonts w:cs="Arial"/>
          <w:szCs w:val="24"/>
          <w:lang w:eastAsia="en-GB"/>
        </w:rPr>
      </w:pPr>
    </w:p>
    <w:p w14:paraId="12296D98" w14:textId="0C00A329" w:rsidR="00B470D9" w:rsidRPr="00CC7D5C" w:rsidRDefault="00B470D9" w:rsidP="00B470D9">
      <w:pPr>
        <w:jc w:val="both"/>
        <w:rPr>
          <w:b/>
          <w:sz w:val="28"/>
          <w:szCs w:val="28"/>
        </w:rPr>
      </w:pPr>
      <w:r>
        <w:rPr>
          <w:b/>
          <w:sz w:val="28"/>
          <w:szCs w:val="28"/>
        </w:rPr>
        <w:t>2</w:t>
      </w:r>
      <w:r w:rsidRPr="00CC7D5C">
        <w:rPr>
          <w:b/>
          <w:sz w:val="28"/>
          <w:szCs w:val="28"/>
        </w:rPr>
        <w:t>.</w:t>
      </w:r>
      <w:r w:rsidR="00CE39F9">
        <w:rPr>
          <w:b/>
          <w:sz w:val="28"/>
          <w:szCs w:val="28"/>
        </w:rPr>
        <w:t>5</w:t>
      </w:r>
      <w:r w:rsidRPr="00CC7D5C">
        <w:rPr>
          <w:b/>
          <w:sz w:val="28"/>
          <w:szCs w:val="28"/>
        </w:rPr>
        <w:tab/>
        <w:t>Financial Implications</w:t>
      </w:r>
    </w:p>
    <w:p w14:paraId="5A5E0FCC" w14:textId="7D8C84B8" w:rsidR="00B470D9" w:rsidRDefault="00B470D9" w:rsidP="00B470D9">
      <w:pPr>
        <w:tabs>
          <w:tab w:val="left" w:pos="8309"/>
        </w:tabs>
        <w:ind w:left="709" w:right="-55" w:hanging="567"/>
        <w:jc w:val="both"/>
        <w:rPr>
          <w:bCs/>
        </w:rPr>
      </w:pPr>
      <w:r>
        <w:rPr>
          <w:bCs/>
        </w:rPr>
        <w:tab/>
        <w:t>Regarding the cost of the scheme itself, there are no financial implications as the full cost of the awards will be paid back to the local authority via s31 grant.</w:t>
      </w:r>
    </w:p>
    <w:p w14:paraId="6590EC0F" w14:textId="77777777" w:rsidR="00B470D9" w:rsidRDefault="00B470D9" w:rsidP="00B470D9">
      <w:pPr>
        <w:tabs>
          <w:tab w:val="left" w:pos="8309"/>
        </w:tabs>
        <w:ind w:left="709" w:right="-55" w:hanging="567"/>
        <w:jc w:val="both"/>
        <w:rPr>
          <w:bCs/>
        </w:rPr>
      </w:pPr>
      <w:r>
        <w:rPr>
          <w:bCs/>
        </w:rPr>
        <w:tab/>
      </w:r>
    </w:p>
    <w:p w14:paraId="03BCEB52" w14:textId="3CAFBA25" w:rsidR="00B470D9" w:rsidRDefault="00B470D9" w:rsidP="00B470D9">
      <w:pPr>
        <w:jc w:val="both"/>
        <w:rPr>
          <w:b/>
          <w:sz w:val="28"/>
          <w:szCs w:val="28"/>
        </w:rPr>
      </w:pPr>
      <w:r>
        <w:rPr>
          <w:b/>
          <w:sz w:val="28"/>
          <w:szCs w:val="28"/>
        </w:rPr>
        <w:t>2</w:t>
      </w:r>
      <w:r w:rsidRPr="00CC7D5C">
        <w:rPr>
          <w:b/>
          <w:sz w:val="28"/>
          <w:szCs w:val="28"/>
        </w:rPr>
        <w:t>.</w:t>
      </w:r>
      <w:r w:rsidR="00CE39F9">
        <w:rPr>
          <w:b/>
          <w:sz w:val="28"/>
          <w:szCs w:val="28"/>
        </w:rPr>
        <w:t>6</w:t>
      </w:r>
      <w:r w:rsidRPr="00CC7D5C">
        <w:rPr>
          <w:b/>
          <w:sz w:val="28"/>
          <w:szCs w:val="28"/>
        </w:rPr>
        <w:tab/>
        <w:t>Performance Issues</w:t>
      </w:r>
    </w:p>
    <w:p w14:paraId="019C6389" w14:textId="77777777" w:rsidR="00B470D9" w:rsidRPr="007F00AF" w:rsidRDefault="00B470D9" w:rsidP="00B470D9">
      <w:pPr>
        <w:ind w:left="720"/>
        <w:jc w:val="both"/>
        <w:rPr>
          <w:szCs w:val="24"/>
        </w:rPr>
      </w:pPr>
      <w:r w:rsidRPr="007F00AF">
        <w:rPr>
          <w:szCs w:val="24"/>
        </w:rPr>
        <w:t>Ensuring all eligible traders are awarded the reliefs they are entitled to will support collection rates and reduce collection administration</w:t>
      </w:r>
      <w:r>
        <w:rPr>
          <w:szCs w:val="24"/>
        </w:rPr>
        <w:t>.</w:t>
      </w:r>
    </w:p>
    <w:p w14:paraId="67A341D4" w14:textId="77777777" w:rsidR="00B470D9" w:rsidRDefault="00B470D9" w:rsidP="00B470D9">
      <w:pPr>
        <w:jc w:val="both"/>
        <w:rPr>
          <w:b/>
          <w:sz w:val="28"/>
          <w:szCs w:val="28"/>
        </w:rPr>
      </w:pPr>
    </w:p>
    <w:p w14:paraId="7D2151A8" w14:textId="52744952" w:rsidR="00B470D9" w:rsidRPr="00CC7D5C" w:rsidRDefault="00B470D9" w:rsidP="00B470D9">
      <w:pPr>
        <w:jc w:val="both"/>
        <w:rPr>
          <w:b/>
          <w:sz w:val="28"/>
          <w:szCs w:val="28"/>
        </w:rPr>
      </w:pPr>
      <w:r>
        <w:rPr>
          <w:b/>
          <w:sz w:val="28"/>
          <w:szCs w:val="28"/>
        </w:rPr>
        <w:t>2</w:t>
      </w:r>
      <w:r w:rsidRPr="00CC7D5C">
        <w:rPr>
          <w:b/>
          <w:sz w:val="28"/>
          <w:szCs w:val="28"/>
        </w:rPr>
        <w:t>.</w:t>
      </w:r>
      <w:r w:rsidR="00CE39F9">
        <w:rPr>
          <w:b/>
          <w:sz w:val="28"/>
          <w:szCs w:val="28"/>
        </w:rPr>
        <w:t>7</w:t>
      </w:r>
      <w:r w:rsidRPr="00CC7D5C">
        <w:rPr>
          <w:b/>
          <w:sz w:val="28"/>
          <w:szCs w:val="28"/>
        </w:rPr>
        <w:t xml:space="preserve"> </w:t>
      </w:r>
      <w:r w:rsidRPr="00CC7D5C">
        <w:rPr>
          <w:b/>
          <w:sz w:val="28"/>
          <w:szCs w:val="28"/>
        </w:rPr>
        <w:tab/>
        <w:t>Environmental Impact</w:t>
      </w:r>
    </w:p>
    <w:p w14:paraId="02469811" w14:textId="77777777" w:rsidR="00B470D9" w:rsidRPr="00CC7D5C" w:rsidRDefault="00B470D9" w:rsidP="00B470D9">
      <w:pPr>
        <w:ind w:left="709"/>
        <w:jc w:val="both"/>
      </w:pPr>
      <w:r w:rsidRPr="00CC7D5C">
        <w:t xml:space="preserve">There are no direct environmental impacts anticipated from the recommendations contained within this report.  </w:t>
      </w:r>
    </w:p>
    <w:p w14:paraId="6944655E" w14:textId="77777777" w:rsidR="00B470D9" w:rsidRPr="00CC7D5C" w:rsidRDefault="00B470D9" w:rsidP="00B470D9">
      <w:pPr>
        <w:ind w:left="709"/>
        <w:jc w:val="both"/>
      </w:pPr>
    </w:p>
    <w:p w14:paraId="7FF1B2E5" w14:textId="3EAD8303" w:rsidR="00B470D9" w:rsidRDefault="00B470D9" w:rsidP="00B470D9">
      <w:pPr>
        <w:jc w:val="both"/>
        <w:rPr>
          <w:b/>
          <w:sz w:val="28"/>
          <w:szCs w:val="28"/>
        </w:rPr>
      </w:pPr>
      <w:r>
        <w:rPr>
          <w:b/>
          <w:sz w:val="28"/>
          <w:szCs w:val="28"/>
        </w:rPr>
        <w:t>2</w:t>
      </w:r>
      <w:r w:rsidRPr="00CC7D5C">
        <w:rPr>
          <w:b/>
          <w:sz w:val="28"/>
          <w:szCs w:val="28"/>
        </w:rPr>
        <w:t>.</w:t>
      </w:r>
      <w:r w:rsidR="00CE39F9">
        <w:rPr>
          <w:b/>
          <w:sz w:val="28"/>
          <w:szCs w:val="28"/>
        </w:rPr>
        <w:t>8</w:t>
      </w:r>
      <w:r w:rsidRPr="00CC7D5C">
        <w:rPr>
          <w:b/>
          <w:sz w:val="28"/>
          <w:szCs w:val="28"/>
        </w:rPr>
        <w:t xml:space="preserve"> </w:t>
      </w:r>
      <w:r w:rsidRPr="00CC7D5C">
        <w:rPr>
          <w:b/>
          <w:sz w:val="28"/>
          <w:szCs w:val="28"/>
        </w:rPr>
        <w:tab/>
        <w:t>Risk Management Implications</w:t>
      </w:r>
    </w:p>
    <w:p w14:paraId="4338EAF2" w14:textId="0ADB54AA" w:rsidR="00515093" w:rsidRPr="008558A0" w:rsidRDefault="00515093" w:rsidP="00D86C2F">
      <w:pPr>
        <w:tabs>
          <w:tab w:val="left" w:pos="5610"/>
        </w:tabs>
        <w:suppressAutoHyphens/>
        <w:autoSpaceDN w:val="0"/>
        <w:ind w:left="1287" w:right="81" w:hanging="567"/>
        <w:textAlignment w:val="baseline"/>
      </w:pPr>
      <w:r w:rsidRPr="008558A0">
        <w:rPr>
          <w:rFonts w:cs="Arial"/>
          <w:szCs w:val="24"/>
          <w:lang w:val="en-US"/>
        </w:rPr>
        <w:t xml:space="preserve">Risks included on corporate or directorate risk register? </w:t>
      </w:r>
      <w:r w:rsidRPr="008558A0">
        <w:rPr>
          <w:rFonts w:cs="Arial"/>
          <w:b/>
          <w:bCs/>
          <w:szCs w:val="24"/>
          <w:lang w:val="en-US"/>
        </w:rPr>
        <w:t>No</w:t>
      </w:r>
      <w:r w:rsidRPr="008558A0">
        <w:rPr>
          <w:rFonts w:cs="Arial"/>
          <w:szCs w:val="24"/>
          <w:lang w:val="en-US"/>
        </w:rPr>
        <w:t xml:space="preserve"> </w:t>
      </w:r>
    </w:p>
    <w:p w14:paraId="799A2B70" w14:textId="77777777" w:rsidR="00515093" w:rsidRPr="008558A0" w:rsidRDefault="00515093" w:rsidP="00D86C2F">
      <w:pPr>
        <w:suppressAutoHyphens/>
        <w:autoSpaceDN w:val="0"/>
        <w:ind w:left="578" w:right="141"/>
        <w:textAlignment w:val="baseline"/>
        <w:rPr>
          <w:rFonts w:cs="Arial"/>
          <w:szCs w:val="24"/>
          <w:lang w:val="en-US" w:eastAsia="en-GB"/>
        </w:rPr>
      </w:pPr>
      <w:r w:rsidRPr="008558A0">
        <w:rPr>
          <w:rFonts w:cs="Arial"/>
          <w:szCs w:val="24"/>
          <w:lang w:val="en-US" w:eastAsia="en-GB"/>
        </w:rPr>
        <w:t xml:space="preserve">  </w:t>
      </w:r>
      <w:r w:rsidRPr="008558A0">
        <w:rPr>
          <w:rFonts w:cs="Arial"/>
          <w:szCs w:val="24"/>
          <w:lang w:val="en-US" w:eastAsia="en-GB"/>
        </w:rPr>
        <w:tab/>
        <w:t xml:space="preserve">Separate risk register in place? </w:t>
      </w:r>
      <w:r w:rsidRPr="008558A0">
        <w:rPr>
          <w:rFonts w:cs="Arial"/>
          <w:b/>
          <w:bCs/>
          <w:szCs w:val="24"/>
          <w:lang w:val="en-US" w:eastAsia="en-GB"/>
        </w:rPr>
        <w:t>No</w:t>
      </w:r>
      <w:r w:rsidRPr="008558A0">
        <w:rPr>
          <w:rFonts w:cs="Arial"/>
          <w:szCs w:val="24"/>
          <w:lang w:val="en-US" w:eastAsia="en-GB"/>
        </w:rPr>
        <w:t xml:space="preserve"> </w:t>
      </w:r>
      <w:r w:rsidRPr="008558A0">
        <w:rPr>
          <w:rFonts w:cs="Arial"/>
          <w:szCs w:val="24"/>
          <w:lang w:eastAsia="en-GB"/>
        </w:rPr>
        <w:t>but part of overall budget risks</w:t>
      </w:r>
    </w:p>
    <w:p w14:paraId="7B64BE30" w14:textId="77777777" w:rsidR="00B87A3A" w:rsidRDefault="00515093" w:rsidP="00D86C2F">
      <w:pPr>
        <w:tabs>
          <w:tab w:val="left" w:pos="5610"/>
        </w:tabs>
        <w:suppressAutoHyphens/>
        <w:autoSpaceDN w:val="0"/>
        <w:ind w:left="1287" w:right="81" w:hanging="567"/>
        <w:textAlignment w:val="baseline"/>
      </w:pPr>
      <w:r w:rsidRPr="008558A0">
        <w:t>The relevant risks contained in the register are attached/summarised</w:t>
      </w:r>
      <w:r w:rsidR="00D86C2F">
        <w:t xml:space="preserve"> </w:t>
      </w:r>
    </w:p>
    <w:p w14:paraId="2C1E40CE" w14:textId="48BB0B57" w:rsidR="00B87A3A" w:rsidRDefault="00515093" w:rsidP="00B87A3A">
      <w:pPr>
        <w:tabs>
          <w:tab w:val="left" w:pos="5610"/>
        </w:tabs>
        <w:suppressAutoHyphens/>
        <w:autoSpaceDN w:val="0"/>
        <w:ind w:left="1287" w:right="81" w:hanging="567"/>
        <w:textAlignment w:val="baseline"/>
        <w:rPr>
          <w:rFonts w:cs="Arial"/>
          <w:b/>
          <w:bCs/>
          <w:szCs w:val="24"/>
          <w:lang w:val="en-US" w:eastAsia="en-GB"/>
        </w:rPr>
      </w:pPr>
      <w:r w:rsidRPr="008558A0">
        <w:t xml:space="preserve">below. </w:t>
      </w:r>
      <w:r w:rsidRPr="008558A0">
        <w:rPr>
          <w:rFonts w:cs="Arial"/>
          <w:b/>
          <w:bCs/>
          <w:szCs w:val="24"/>
          <w:lang w:val="en-US" w:eastAsia="en-GB"/>
        </w:rPr>
        <w:t>n/a</w:t>
      </w:r>
      <w:r w:rsidR="00B87A3A">
        <w:rPr>
          <w:rFonts w:cs="Arial"/>
          <w:b/>
          <w:bCs/>
          <w:szCs w:val="24"/>
          <w:lang w:val="en-US" w:eastAsia="en-GB"/>
        </w:rPr>
        <w:t xml:space="preserve"> </w:t>
      </w:r>
    </w:p>
    <w:p w14:paraId="4AAEDFE6" w14:textId="77777777" w:rsidR="00B87A3A" w:rsidRDefault="00B87A3A" w:rsidP="00B87A3A">
      <w:pPr>
        <w:tabs>
          <w:tab w:val="left" w:pos="5610"/>
        </w:tabs>
        <w:suppressAutoHyphens/>
        <w:autoSpaceDN w:val="0"/>
        <w:ind w:left="1287" w:right="81" w:hanging="567"/>
        <w:textAlignment w:val="baseline"/>
        <w:rPr>
          <w:rFonts w:cs="Arial"/>
          <w:b/>
          <w:bCs/>
          <w:szCs w:val="24"/>
          <w:lang w:val="en-US" w:eastAsia="en-GB"/>
        </w:rPr>
      </w:pPr>
    </w:p>
    <w:p w14:paraId="40043F52" w14:textId="77777777" w:rsidR="00B87A3A" w:rsidRDefault="00515093" w:rsidP="00B87A3A">
      <w:pPr>
        <w:tabs>
          <w:tab w:val="left" w:pos="5610"/>
        </w:tabs>
        <w:suppressAutoHyphens/>
        <w:autoSpaceDN w:val="0"/>
        <w:ind w:left="1287" w:right="81" w:hanging="567"/>
        <w:textAlignment w:val="baseline"/>
      </w:pPr>
      <w:r w:rsidRPr="002546B6">
        <w:t>Whilst Officers have estimated the</w:t>
      </w:r>
      <w:r>
        <w:t xml:space="preserve"> financial costs</w:t>
      </w:r>
      <w:r w:rsidRPr="002546B6">
        <w:t xml:space="preserve"> </w:t>
      </w:r>
      <w:r>
        <w:t>and numbers eligible</w:t>
      </w:r>
      <w:r w:rsidR="00B87A3A">
        <w:t xml:space="preserve"> </w:t>
      </w:r>
    </w:p>
    <w:p w14:paraId="14587B63" w14:textId="77777777" w:rsidR="00B87A3A" w:rsidRDefault="00515093" w:rsidP="00B87A3A">
      <w:pPr>
        <w:tabs>
          <w:tab w:val="left" w:pos="5610"/>
        </w:tabs>
        <w:suppressAutoHyphens/>
        <w:autoSpaceDN w:val="0"/>
        <w:ind w:left="1287" w:right="81" w:hanging="567"/>
        <w:textAlignment w:val="baseline"/>
      </w:pPr>
      <w:r w:rsidRPr="002546B6">
        <w:t>as accurately as possible within the</w:t>
      </w:r>
      <w:r>
        <w:t xml:space="preserve"> </w:t>
      </w:r>
      <w:r w:rsidRPr="002546B6">
        <w:t xml:space="preserve">data available, </w:t>
      </w:r>
      <w:r w:rsidRPr="008558A0">
        <w:t xml:space="preserve">the following key </w:t>
      </w:r>
    </w:p>
    <w:p w14:paraId="673A7583" w14:textId="77777777" w:rsidR="00B87A3A" w:rsidRDefault="00515093" w:rsidP="00B87A3A">
      <w:pPr>
        <w:tabs>
          <w:tab w:val="left" w:pos="5610"/>
        </w:tabs>
        <w:suppressAutoHyphens/>
        <w:autoSpaceDN w:val="0"/>
        <w:ind w:left="1287" w:right="81" w:hanging="567"/>
        <w:textAlignment w:val="baseline"/>
      </w:pPr>
      <w:r w:rsidRPr="008558A0">
        <w:t xml:space="preserve">risks should be </w:t>
      </w:r>
      <w:proofErr w:type="gramStart"/>
      <w:r w:rsidRPr="008558A0">
        <w:t xml:space="preserve">taken </w:t>
      </w:r>
      <w:r>
        <w:t>i</w:t>
      </w:r>
      <w:r w:rsidRPr="008558A0">
        <w:t>nto account</w:t>
      </w:r>
      <w:proofErr w:type="gramEnd"/>
      <w:r w:rsidRPr="008558A0">
        <w:t xml:space="preserve"> when agreeing the</w:t>
      </w:r>
      <w:r w:rsidR="00B87A3A">
        <w:t xml:space="preserve"> </w:t>
      </w:r>
    </w:p>
    <w:p w14:paraId="599841BE" w14:textId="2BAB5722" w:rsidR="00515093" w:rsidRPr="002546B6" w:rsidRDefault="00515093" w:rsidP="00B87A3A">
      <w:pPr>
        <w:tabs>
          <w:tab w:val="left" w:pos="5610"/>
        </w:tabs>
        <w:suppressAutoHyphens/>
        <w:autoSpaceDN w:val="0"/>
        <w:ind w:left="1287" w:right="81" w:hanging="567"/>
        <w:textAlignment w:val="baseline"/>
        <w:rPr>
          <w:color w:val="FF0000"/>
        </w:rPr>
      </w:pPr>
      <w:r w:rsidRPr="008558A0">
        <w:t>recommendations in this report:</w:t>
      </w:r>
    </w:p>
    <w:p w14:paraId="411EF39C" w14:textId="4691C73F" w:rsidR="00515093" w:rsidRDefault="00515093" w:rsidP="00D86C2F">
      <w:pPr>
        <w:ind w:left="1287"/>
        <w:jc w:val="both"/>
        <w:rPr>
          <w:rFonts w:cs="Arial"/>
          <w:szCs w:val="24"/>
          <w:lang w:eastAsia="en-GB"/>
        </w:rPr>
      </w:pPr>
    </w:p>
    <w:p w14:paraId="6195A502" w14:textId="44E837DC" w:rsidR="00656F61" w:rsidRDefault="00656F61" w:rsidP="00D86C2F">
      <w:pPr>
        <w:ind w:left="1287"/>
        <w:jc w:val="both"/>
        <w:rPr>
          <w:rFonts w:cs="Arial"/>
          <w:szCs w:val="24"/>
          <w:lang w:eastAsia="en-GB"/>
        </w:rPr>
      </w:pPr>
    </w:p>
    <w:p w14:paraId="1BB3CF9C" w14:textId="5C306199" w:rsidR="00656F61" w:rsidRDefault="00656F61" w:rsidP="00D86C2F">
      <w:pPr>
        <w:ind w:left="1287"/>
        <w:jc w:val="both"/>
        <w:rPr>
          <w:rFonts w:cs="Arial"/>
          <w:szCs w:val="24"/>
          <w:lang w:eastAsia="en-GB"/>
        </w:rPr>
      </w:pPr>
    </w:p>
    <w:p w14:paraId="471D00D3" w14:textId="3EB57B1D" w:rsidR="00656F61" w:rsidRDefault="00656F61" w:rsidP="00D86C2F">
      <w:pPr>
        <w:ind w:left="1287"/>
        <w:jc w:val="both"/>
        <w:rPr>
          <w:rFonts w:cs="Arial"/>
          <w:szCs w:val="24"/>
          <w:lang w:eastAsia="en-GB"/>
        </w:rPr>
      </w:pPr>
    </w:p>
    <w:p w14:paraId="5340E6EB" w14:textId="77777777" w:rsidR="00656F61" w:rsidRDefault="00656F61" w:rsidP="00D86C2F">
      <w:pPr>
        <w:ind w:left="1287"/>
        <w:jc w:val="both"/>
        <w:rPr>
          <w:rFonts w:cs="Arial"/>
          <w:szCs w:val="24"/>
          <w:lang w:eastAsia="en-GB"/>
        </w:rPr>
      </w:pPr>
    </w:p>
    <w:p w14:paraId="02DFDC91" w14:textId="11FE1DDA" w:rsidR="001F0832" w:rsidRDefault="001F0832" w:rsidP="00B470D9">
      <w:pPr>
        <w:ind w:left="709" w:firstLine="11"/>
        <w:jc w:val="both"/>
        <w:rPr>
          <w:szCs w:val="24"/>
        </w:rPr>
      </w:pPr>
    </w:p>
    <w:tbl>
      <w:tblPr>
        <w:tblStyle w:val="TableGrid"/>
        <w:tblW w:w="0" w:type="auto"/>
        <w:tblLook w:val="04A0" w:firstRow="1" w:lastRow="0" w:firstColumn="1" w:lastColumn="0" w:noHBand="0" w:noVBand="1"/>
      </w:tblPr>
      <w:tblGrid>
        <w:gridCol w:w="2377"/>
        <w:gridCol w:w="4706"/>
        <w:gridCol w:w="1216"/>
      </w:tblGrid>
      <w:tr w:rsidR="00582E9D" w14:paraId="2240CC6B" w14:textId="77777777" w:rsidTr="00D91211">
        <w:tc>
          <w:tcPr>
            <w:tcW w:w="2377" w:type="dxa"/>
          </w:tcPr>
          <w:p w14:paraId="0C91D085" w14:textId="77777777" w:rsidR="00582E9D" w:rsidRPr="007622B2" w:rsidRDefault="00582E9D" w:rsidP="00D91211">
            <w:pPr>
              <w:jc w:val="both"/>
              <w:rPr>
                <w:b/>
                <w:bCs/>
                <w:color w:val="000000"/>
              </w:rPr>
            </w:pPr>
            <w:r w:rsidRPr="007622B2">
              <w:rPr>
                <w:b/>
                <w:bCs/>
                <w:color w:val="000000"/>
              </w:rPr>
              <w:lastRenderedPageBreak/>
              <w:t>Risk Identified</w:t>
            </w:r>
          </w:p>
        </w:tc>
        <w:tc>
          <w:tcPr>
            <w:tcW w:w="4706" w:type="dxa"/>
          </w:tcPr>
          <w:p w14:paraId="50F92EF2" w14:textId="77777777" w:rsidR="00582E9D" w:rsidRPr="007622B2" w:rsidRDefault="00582E9D" w:rsidP="00D91211">
            <w:pPr>
              <w:jc w:val="both"/>
              <w:rPr>
                <w:b/>
                <w:bCs/>
                <w:color w:val="000000"/>
              </w:rPr>
            </w:pPr>
            <w:r w:rsidRPr="007622B2">
              <w:rPr>
                <w:b/>
                <w:bCs/>
                <w:color w:val="000000"/>
              </w:rPr>
              <w:t>Mitigations</w:t>
            </w:r>
          </w:p>
        </w:tc>
        <w:tc>
          <w:tcPr>
            <w:tcW w:w="1216" w:type="dxa"/>
          </w:tcPr>
          <w:p w14:paraId="028ACF56" w14:textId="77777777" w:rsidR="00582E9D" w:rsidRPr="007622B2" w:rsidRDefault="00582E9D" w:rsidP="00D91211">
            <w:pPr>
              <w:jc w:val="both"/>
              <w:rPr>
                <w:b/>
                <w:bCs/>
                <w:color w:val="000000"/>
              </w:rPr>
            </w:pPr>
            <w:r>
              <w:rPr>
                <w:b/>
                <w:bCs/>
                <w:color w:val="000000"/>
              </w:rPr>
              <w:t>Rag Status</w:t>
            </w:r>
          </w:p>
        </w:tc>
      </w:tr>
      <w:tr w:rsidR="00582E9D" w14:paraId="28714BA3" w14:textId="77777777" w:rsidTr="00D91211">
        <w:tc>
          <w:tcPr>
            <w:tcW w:w="2377" w:type="dxa"/>
          </w:tcPr>
          <w:p w14:paraId="2AEEE4DD" w14:textId="77777777" w:rsidR="00582E9D" w:rsidRPr="007622B2" w:rsidRDefault="00582E9D" w:rsidP="00D91211">
            <w:pPr>
              <w:jc w:val="both"/>
              <w:rPr>
                <w:b/>
                <w:bCs/>
                <w:color w:val="000000"/>
              </w:rPr>
            </w:pPr>
          </w:p>
        </w:tc>
        <w:tc>
          <w:tcPr>
            <w:tcW w:w="4706" w:type="dxa"/>
          </w:tcPr>
          <w:p w14:paraId="29CEC169" w14:textId="77777777" w:rsidR="00582E9D" w:rsidRPr="007622B2" w:rsidRDefault="00582E9D" w:rsidP="00D91211">
            <w:pPr>
              <w:jc w:val="both"/>
              <w:rPr>
                <w:b/>
                <w:bCs/>
                <w:color w:val="000000"/>
              </w:rPr>
            </w:pPr>
          </w:p>
        </w:tc>
        <w:tc>
          <w:tcPr>
            <w:tcW w:w="1216" w:type="dxa"/>
          </w:tcPr>
          <w:p w14:paraId="7BDEABCA" w14:textId="77777777" w:rsidR="00582E9D" w:rsidRPr="007622B2" w:rsidRDefault="00582E9D" w:rsidP="00D91211">
            <w:pPr>
              <w:jc w:val="both"/>
              <w:rPr>
                <w:b/>
                <w:bCs/>
                <w:color w:val="000000"/>
              </w:rPr>
            </w:pPr>
          </w:p>
        </w:tc>
      </w:tr>
      <w:tr w:rsidR="00582E9D" w14:paraId="198041B1" w14:textId="77777777" w:rsidTr="00D91211">
        <w:tc>
          <w:tcPr>
            <w:tcW w:w="2377" w:type="dxa"/>
          </w:tcPr>
          <w:p w14:paraId="1D6F6B62" w14:textId="77777777" w:rsidR="00582E9D" w:rsidRPr="00170B1D" w:rsidRDefault="00582E9D" w:rsidP="00D91211">
            <w:pPr>
              <w:jc w:val="both"/>
              <w:rPr>
                <w:b/>
                <w:bCs/>
              </w:rPr>
            </w:pPr>
            <w:bookmarkStart w:id="1" w:name="_Hlk106007364"/>
            <w:r>
              <w:rPr>
                <w:sz w:val="20"/>
              </w:rPr>
              <w:t>Awards are not paid</w:t>
            </w:r>
            <w:r w:rsidRPr="00170B1D">
              <w:rPr>
                <w:sz w:val="20"/>
              </w:rPr>
              <w:t xml:space="preserve"> within required deadline (3</w:t>
            </w:r>
            <w:r>
              <w:rPr>
                <w:sz w:val="20"/>
              </w:rPr>
              <w:t>0</w:t>
            </w:r>
            <w:r w:rsidRPr="00170B1D">
              <w:rPr>
                <w:sz w:val="20"/>
              </w:rPr>
              <w:t>/0</w:t>
            </w:r>
            <w:r>
              <w:rPr>
                <w:sz w:val="20"/>
              </w:rPr>
              <w:t>9</w:t>
            </w:r>
            <w:r w:rsidRPr="00170B1D">
              <w:rPr>
                <w:sz w:val="20"/>
              </w:rPr>
              <w:t>/22)</w:t>
            </w:r>
          </w:p>
        </w:tc>
        <w:tc>
          <w:tcPr>
            <w:tcW w:w="4706" w:type="dxa"/>
          </w:tcPr>
          <w:p w14:paraId="567746CC" w14:textId="756FE390" w:rsidR="00582E9D" w:rsidRPr="005668ED" w:rsidRDefault="00D94AF0" w:rsidP="00D91211">
            <w:pPr>
              <w:jc w:val="both"/>
              <w:rPr>
                <w:sz w:val="20"/>
              </w:rPr>
            </w:pPr>
            <w:r>
              <w:rPr>
                <w:sz w:val="20"/>
              </w:rPr>
              <w:t xml:space="preserve">Mitigations are that we will mailshot all qualifying businesses and do some local </w:t>
            </w:r>
            <w:proofErr w:type="gramStart"/>
            <w:r>
              <w:rPr>
                <w:sz w:val="20"/>
              </w:rPr>
              <w:t>advertising</w:t>
            </w:r>
            <w:proofErr w:type="gramEnd"/>
            <w:r>
              <w:rPr>
                <w:sz w:val="20"/>
              </w:rPr>
              <w:t xml:space="preserve"> so businesses are aware of the scheme.</w:t>
            </w:r>
            <w:r w:rsidR="0052258F">
              <w:rPr>
                <w:sz w:val="20"/>
              </w:rPr>
              <w:t xml:space="preserve"> Procedures will ensure payments are made in a timely manner and before the Sept deadline.</w:t>
            </w:r>
          </w:p>
        </w:tc>
        <w:tc>
          <w:tcPr>
            <w:tcW w:w="1216" w:type="dxa"/>
            <w:shd w:val="clear" w:color="auto" w:fill="00B050"/>
          </w:tcPr>
          <w:p w14:paraId="38E3E2CA" w14:textId="77777777" w:rsidR="00582E9D" w:rsidRPr="007622B2" w:rsidRDefault="00582E9D" w:rsidP="00D91211">
            <w:pPr>
              <w:jc w:val="both"/>
              <w:rPr>
                <w:b/>
                <w:bCs/>
                <w:color w:val="000000"/>
              </w:rPr>
            </w:pPr>
          </w:p>
        </w:tc>
      </w:tr>
      <w:tr w:rsidR="00582E9D" w14:paraId="11A805EF" w14:textId="77777777" w:rsidTr="00D91211">
        <w:tc>
          <w:tcPr>
            <w:tcW w:w="2377" w:type="dxa"/>
          </w:tcPr>
          <w:p w14:paraId="6864E2C3" w14:textId="77777777" w:rsidR="00582E9D" w:rsidRPr="00C1016C" w:rsidRDefault="00582E9D" w:rsidP="00D91211">
            <w:pPr>
              <w:jc w:val="both"/>
              <w:rPr>
                <w:sz w:val="20"/>
              </w:rPr>
            </w:pPr>
            <w:r w:rsidRPr="00C1016C">
              <w:rPr>
                <w:sz w:val="20"/>
              </w:rPr>
              <w:t>Insufficient awareness of the scheme results in low take up</w:t>
            </w:r>
          </w:p>
        </w:tc>
        <w:tc>
          <w:tcPr>
            <w:tcW w:w="4706" w:type="dxa"/>
          </w:tcPr>
          <w:p w14:paraId="015C4D47" w14:textId="77777777" w:rsidR="00582E9D" w:rsidRPr="00C1016C" w:rsidRDefault="00582E9D" w:rsidP="00D91211">
            <w:pPr>
              <w:jc w:val="both"/>
              <w:rPr>
                <w:sz w:val="20"/>
              </w:rPr>
            </w:pPr>
            <w:r w:rsidRPr="00C1016C">
              <w:rPr>
                <w:sz w:val="20"/>
              </w:rPr>
              <w:t>Mitigated by awareness campaign and targeting of potential eligible traders by mailshot being carried out.</w:t>
            </w:r>
          </w:p>
        </w:tc>
        <w:tc>
          <w:tcPr>
            <w:tcW w:w="1216" w:type="dxa"/>
            <w:shd w:val="clear" w:color="auto" w:fill="00B050"/>
          </w:tcPr>
          <w:p w14:paraId="4D0D48A0" w14:textId="77777777" w:rsidR="00582E9D" w:rsidRPr="007622B2" w:rsidRDefault="00582E9D" w:rsidP="00D91211">
            <w:pPr>
              <w:jc w:val="both"/>
              <w:rPr>
                <w:b/>
                <w:bCs/>
                <w:color w:val="000000"/>
              </w:rPr>
            </w:pPr>
          </w:p>
        </w:tc>
      </w:tr>
      <w:bookmarkEnd w:id="1"/>
      <w:tr w:rsidR="00582E9D" w14:paraId="2D681752" w14:textId="77777777" w:rsidTr="00D91211">
        <w:tc>
          <w:tcPr>
            <w:tcW w:w="2377" w:type="dxa"/>
          </w:tcPr>
          <w:p w14:paraId="75F85EAA" w14:textId="77777777" w:rsidR="00582E9D" w:rsidRPr="00CD50F5" w:rsidRDefault="00582E9D" w:rsidP="00D91211">
            <w:pPr>
              <w:rPr>
                <w:color w:val="000000"/>
                <w:sz w:val="20"/>
              </w:rPr>
            </w:pPr>
            <w:r>
              <w:rPr>
                <w:color w:val="000000"/>
                <w:sz w:val="20"/>
              </w:rPr>
              <w:t>Harrow does not get recompensed for awards granted</w:t>
            </w:r>
          </w:p>
        </w:tc>
        <w:tc>
          <w:tcPr>
            <w:tcW w:w="4706" w:type="dxa"/>
          </w:tcPr>
          <w:p w14:paraId="54548C7A" w14:textId="77777777" w:rsidR="00582E9D" w:rsidRPr="00CD50F5" w:rsidRDefault="00582E9D" w:rsidP="00D91211">
            <w:pPr>
              <w:jc w:val="both"/>
              <w:rPr>
                <w:color w:val="000000"/>
                <w:sz w:val="20"/>
              </w:rPr>
            </w:pPr>
            <w:r>
              <w:rPr>
                <w:color w:val="000000"/>
                <w:sz w:val="20"/>
              </w:rPr>
              <w:t>Mitigated by policy following issued guidance and appropriate governance being put in place to ensure recipient traders meet eligibility criteria</w:t>
            </w:r>
          </w:p>
        </w:tc>
        <w:tc>
          <w:tcPr>
            <w:tcW w:w="1216" w:type="dxa"/>
            <w:shd w:val="clear" w:color="auto" w:fill="00B050"/>
          </w:tcPr>
          <w:p w14:paraId="4A9E13BD" w14:textId="77777777" w:rsidR="00582E9D" w:rsidRPr="00CD50F5" w:rsidRDefault="00582E9D" w:rsidP="00D91211">
            <w:pPr>
              <w:jc w:val="both"/>
              <w:rPr>
                <w:color w:val="000000"/>
                <w:sz w:val="20"/>
              </w:rPr>
            </w:pPr>
          </w:p>
        </w:tc>
      </w:tr>
      <w:tr w:rsidR="00582E9D" w14:paraId="142FA205" w14:textId="77777777" w:rsidTr="00D91211">
        <w:tc>
          <w:tcPr>
            <w:tcW w:w="2377" w:type="dxa"/>
          </w:tcPr>
          <w:p w14:paraId="0D538094" w14:textId="77777777" w:rsidR="00582E9D" w:rsidRPr="00CD50F5" w:rsidRDefault="00582E9D" w:rsidP="00D91211">
            <w:pPr>
              <w:rPr>
                <w:color w:val="000000"/>
                <w:sz w:val="20"/>
              </w:rPr>
            </w:pPr>
            <w:r>
              <w:rPr>
                <w:color w:val="000000"/>
                <w:sz w:val="20"/>
              </w:rPr>
              <w:t>Harrow cannot afford scheme / Harrow awards exceeds grant allocated</w:t>
            </w:r>
          </w:p>
        </w:tc>
        <w:tc>
          <w:tcPr>
            <w:tcW w:w="4706" w:type="dxa"/>
          </w:tcPr>
          <w:p w14:paraId="577874CC" w14:textId="2E324E66" w:rsidR="00582E9D" w:rsidRPr="00CD50F5" w:rsidRDefault="00B3167E" w:rsidP="00D91211">
            <w:pPr>
              <w:jc w:val="both"/>
              <w:rPr>
                <w:color w:val="000000"/>
                <w:sz w:val="20"/>
              </w:rPr>
            </w:pPr>
            <w:r w:rsidRPr="005D5865">
              <w:rPr>
                <w:color w:val="000000"/>
                <w:sz w:val="20"/>
              </w:rPr>
              <w:t>As this is a Central Government initiative and Government is compensating LA’s via s31 grant for any loss in rates retention monies as a direct result of awards of this relief, there is no or minimal risk to Harrow.</w:t>
            </w:r>
            <w:r>
              <w:rPr>
                <w:color w:val="000000"/>
                <w:sz w:val="20"/>
              </w:rPr>
              <w:t xml:space="preserve"> </w:t>
            </w:r>
            <w:proofErr w:type="gramStart"/>
            <w:r>
              <w:rPr>
                <w:color w:val="000000"/>
                <w:sz w:val="20"/>
              </w:rPr>
              <w:t>However</w:t>
            </w:r>
            <w:proofErr w:type="gramEnd"/>
            <w:r>
              <w:rPr>
                <w:color w:val="000000"/>
                <w:sz w:val="20"/>
              </w:rPr>
              <w:t xml:space="preserve"> should the awards exceed the grant then Harrow would be responsible for the excess. As such modelling is being carried out to set the percentage award at a level that maximises awards to local businesses whilst expenditure will not exceed the grant allocated.</w:t>
            </w:r>
          </w:p>
        </w:tc>
        <w:tc>
          <w:tcPr>
            <w:tcW w:w="1216" w:type="dxa"/>
            <w:shd w:val="clear" w:color="auto" w:fill="00B050"/>
          </w:tcPr>
          <w:p w14:paraId="43259771" w14:textId="77777777" w:rsidR="00582E9D" w:rsidRPr="00CD50F5" w:rsidRDefault="00582E9D" w:rsidP="00D91211">
            <w:pPr>
              <w:jc w:val="both"/>
              <w:rPr>
                <w:color w:val="000000"/>
                <w:sz w:val="20"/>
              </w:rPr>
            </w:pPr>
          </w:p>
        </w:tc>
      </w:tr>
      <w:tr w:rsidR="001E6093" w14:paraId="6EF4E69D" w14:textId="77777777" w:rsidTr="00D77FCC">
        <w:tc>
          <w:tcPr>
            <w:tcW w:w="2377" w:type="dxa"/>
          </w:tcPr>
          <w:p w14:paraId="026756BD" w14:textId="77777777" w:rsidR="001E6093" w:rsidRPr="00922F31" w:rsidRDefault="001E6093" w:rsidP="001E6093">
            <w:pPr>
              <w:rPr>
                <w:sz w:val="20"/>
              </w:rPr>
            </w:pPr>
            <w:r w:rsidRPr="00922F31">
              <w:rPr>
                <w:sz w:val="20"/>
              </w:rPr>
              <w:t>Ineligible business rate payers apply and are paid the grant fraudulently or in error</w:t>
            </w:r>
          </w:p>
        </w:tc>
        <w:tc>
          <w:tcPr>
            <w:tcW w:w="4706" w:type="dxa"/>
          </w:tcPr>
          <w:p w14:paraId="5177379F" w14:textId="624E28EC" w:rsidR="001E6093" w:rsidRPr="005D5865" w:rsidRDefault="001E6093" w:rsidP="001E6093">
            <w:pPr>
              <w:jc w:val="both"/>
              <w:rPr>
                <w:color w:val="000000"/>
                <w:sz w:val="20"/>
              </w:rPr>
            </w:pPr>
            <w:r>
              <w:rPr>
                <w:color w:val="000000"/>
                <w:sz w:val="20"/>
              </w:rPr>
              <w:t xml:space="preserve">Mitigated by the application process having built in checks to ensure ineligible businesses do not get paid. </w:t>
            </w:r>
          </w:p>
        </w:tc>
        <w:tc>
          <w:tcPr>
            <w:tcW w:w="1216" w:type="dxa"/>
            <w:shd w:val="clear" w:color="auto" w:fill="00B050"/>
          </w:tcPr>
          <w:p w14:paraId="659DB9FC" w14:textId="77777777" w:rsidR="001E6093" w:rsidRPr="00CD50F5" w:rsidRDefault="001E6093" w:rsidP="001E6093">
            <w:pPr>
              <w:jc w:val="both"/>
              <w:rPr>
                <w:color w:val="000000"/>
                <w:sz w:val="20"/>
              </w:rPr>
            </w:pPr>
          </w:p>
        </w:tc>
      </w:tr>
      <w:tr w:rsidR="001E6093" w14:paraId="7A5D0C26" w14:textId="77777777" w:rsidTr="00D77FCC">
        <w:tc>
          <w:tcPr>
            <w:tcW w:w="2377" w:type="dxa"/>
          </w:tcPr>
          <w:p w14:paraId="44400EB8" w14:textId="639E638F" w:rsidR="001E6093" w:rsidRPr="00922F31" w:rsidRDefault="001E6093" w:rsidP="001E6093">
            <w:pPr>
              <w:rPr>
                <w:sz w:val="20"/>
              </w:rPr>
            </w:pPr>
            <w:r w:rsidRPr="00922F31">
              <w:rPr>
                <w:sz w:val="20"/>
              </w:rPr>
              <w:t>Policy does no</w:t>
            </w:r>
            <w:r w:rsidR="00455E9C">
              <w:rPr>
                <w:sz w:val="20"/>
              </w:rPr>
              <w:t>t</w:t>
            </w:r>
            <w:r w:rsidRPr="00922F31">
              <w:rPr>
                <w:sz w:val="20"/>
              </w:rPr>
              <w:t xml:space="preserve"> comply with government guidance</w:t>
            </w:r>
          </w:p>
        </w:tc>
        <w:tc>
          <w:tcPr>
            <w:tcW w:w="4706" w:type="dxa"/>
          </w:tcPr>
          <w:p w14:paraId="68818215" w14:textId="2AD94A6C" w:rsidR="001E6093" w:rsidRPr="005D5865" w:rsidRDefault="001E6093" w:rsidP="001E6093">
            <w:pPr>
              <w:jc w:val="both"/>
              <w:rPr>
                <w:color w:val="000000"/>
                <w:sz w:val="20"/>
              </w:rPr>
            </w:pPr>
            <w:r>
              <w:rPr>
                <w:color w:val="000000"/>
                <w:sz w:val="20"/>
              </w:rPr>
              <w:t>Mitigated by policy following Government guidance and subsequently issued FAQ’s which provide operating framework.</w:t>
            </w:r>
          </w:p>
        </w:tc>
        <w:tc>
          <w:tcPr>
            <w:tcW w:w="1216" w:type="dxa"/>
            <w:shd w:val="clear" w:color="auto" w:fill="00B050"/>
          </w:tcPr>
          <w:p w14:paraId="4B684648" w14:textId="77777777" w:rsidR="001E6093" w:rsidRPr="00CD50F5" w:rsidRDefault="001E6093" w:rsidP="001E6093">
            <w:pPr>
              <w:jc w:val="both"/>
              <w:rPr>
                <w:color w:val="000000"/>
                <w:sz w:val="20"/>
              </w:rPr>
            </w:pPr>
          </w:p>
        </w:tc>
      </w:tr>
      <w:tr w:rsidR="001E6093" w14:paraId="1AEBFA41" w14:textId="77777777" w:rsidTr="00D77FCC">
        <w:tc>
          <w:tcPr>
            <w:tcW w:w="2377" w:type="dxa"/>
          </w:tcPr>
          <w:p w14:paraId="5EA7FF65" w14:textId="77777777" w:rsidR="001E6093" w:rsidRPr="00922F31" w:rsidRDefault="001E6093" w:rsidP="001E6093">
            <w:pPr>
              <w:rPr>
                <w:sz w:val="20"/>
              </w:rPr>
            </w:pPr>
            <w:r w:rsidRPr="00922F31">
              <w:rPr>
                <w:sz w:val="20"/>
              </w:rPr>
              <w:t xml:space="preserve">Modelling is not robust leading to inappropriate level of support being provided  </w:t>
            </w:r>
          </w:p>
        </w:tc>
        <w:tc>
          <w:tcPr>
            <w:tcW w:w="4706" w:type="dxa"/>
          </w:tcPr>
          <w:p w14:paraId="6DFDAD9D" w14:textId="5DC18D20" w:rsidR="001E6093" w:rsidRPr="005D5865" w:rsidRDefault="001E6093" w:rsidP="001E6093">
            <w:pPr>
              <w:jc w:val="both"/>
              <w:rPr>
                <w:color w:val="000000"/>
                <w:sz w:val="20"/>
              </w:rPr>
            </w:pPr>
            <w:r>
              <w:rPr>
                <w:color w:val="000000"/>
                <w:sz w:val="20"/>
              </w:rPr>
              <w:t>There is a</w:t>
            </w:r>
            <w:r w:rsidR="00F71369">
              <w:rPr>
                <w:color w:val="000000"/>
                <w:sz w:val="20"/>
              </w:rPr>
              <w:t xml:space="preserve"> small</w:t>
            </w:r>
            <w:r>
              <w:rPr>
                <w:color w:val="000000"/>
                <w:sz w:val="20"/>
              </w:rPr>
              <w:t xml:space="preserve"> risk that too little or too much support may be provided as modelling can never be 100% accurate. </w:t>
            </w:r>
            <w:r w:rsidR="00592356">
              <w:rPr>
                <w:color w:val="000000"/>
                <w:sz w:val="20"/>
              </w:rPr>
              <w:t xml:space="preserve">Internal modelling will be reviewed and </w:t>
            </w:r>
            <w:proofErr w:type="gramStart"/>
            <w:r w:rsidR="00592356">
              <w:rPr>
                <w:color w:val="000000"/>
                <w:sz w:val="20"/>
              </w:rPr>
              <w:t>checks</w:t>
            </w:r>
            <w:proofErr w:type="gramEnd"/>
            <w:r w:rsidR="00592356">
              <w:rPr>
                <w:color w:val="000000"/>
                <w:sz w:val="20"/>
              </w:rPr>
              <w:t xml:space="preserve"> and balances added to ensure robustness.</w:t>
            </w:r>
          </w:p>
        </w:tc>
        <w:tc>
          <w:tcPr>
            <w:tcW w:w="1216" w:type="dxa"/>
            <w:shd w:val="clear" w:color="auto" w:fill="00B050"/>
          </w:tcPr>
          <w:p w14:paraId="37FA5DC4" w14:textId="77777777" w:rsidR="001E6093" w:rsidRPr="00CD50F5" w:rsidRDefault="001E6093" w:rsidP="001E6093">
            <w:pPr>
              <w:jc w:val="both"/>
              <w:rPr>
                <w:color w:val="000000"/>
                <w:sz w:val="20"/>
              </w:rPr>
            </w:pPr>
          </w:p>
        </w:tc>
      </w:tr>
      <w:tr w:rsidR="001E6093" w14:paraId="2D5CE84E" w14:textId="77777777" w:rsidTr="00B25427">
        <w:tc>
          <w:tcPr>
            <w:tcW w:w="2377" w:type="dxa"/>
          </w:tcPr>
          <w:p w14:paraId="69EC3F1E" w14:textId="77777777" w:rsidR="001E6093" w:rsidRPr="00922F31" w:rsidRDefault="001E6093" w:rsidP="001E6093">
            <w:pPr>
              <w:rPr>
                <w:sz w:val="20"/>
              </w:rPr>
            </w:pPr>
            <w:r w:rsidRPr="00922F31">
              <w:rPr>
                <w:sz w:val="20"/>
              </w:rPr>
              <w:t>Obligations attached to Permitted Subsidy Allowances are not met</w:t>
            </w:r>
          </w:p>
        </w:tc>
        <w:tc>
          <w:tcPr>
            <w:tcW w:w="4706" w:type="dxa"/>
          </w:tcPr>
          <w:p w14:paraId="273E41E2" w14:textId="0F786352" w:rsidR="001E6093" w:rsidRPr="005D5865" w:rsidRDefault="001E6093" w:rsidP="001E6093">
            <w:pPr>
              <w:jc w:val="both"/>
              <w:rPr>
                <w:color w:val="000000"/>
                <w:sz w:val="20"/>
              </w:rPr>
            </w:pPr>
            <w:r>
              <w:rPr>
                <w:color w:val="000000"/>
                <w:sz w:val="20"/>
              </w:rPr>
              <w:t xml:space="preserve">This relies solely on </w:t>
            </w:r>
            <w:proofErr w:type="spellStart"/>
            <w:r>
              <w:rPr>
                <w:color w:val="000000"/>
                <w:sz w:val="20"/>
              </w:rPr>
              <w:t>self declaration</w:t>
            </w:r>
            <w:proofErr w:type="spellEnd"/>
            <w:r>
              <w:rPr>
                <w:color w:val="000000"/>
                <w:sz w:val="20"/>
              </w:rPr>
              <w:t xml:space="preserve"> by Businesses as only they know what other permitted subsidies / allowances they have claimed in the year. There is therefore a real risk of fraud and businesses claiming what they should </w:t>
            </w:r>
            <w:proofErr w:type="gramStart"/>
            <w:r>
              <w:rPr>
                <w:color w:val="000000"/>
                <w:sz w:val="20"/>
              </w:rPr>
              <w:t>not</w:t>
            </w:r>
            <w:proofErr w:type="gramEnd"/>
            <w:r>
              <w:rPr>
                <w:color w:val="000000"/>
                <w:sz w:val="20"/>
              </w:rPr>
              <w:t xml:space="preserve"> but this cannot be further mitigated against.</w:t>
            </w:r>
          </w:p>
        </w:tc>
        <w:tc>
          <w:tcPr>
            <w:tcW w:w="1216" w:type="dxa"/>
            <w:shd w:val="clear" w:color="auto" w:fill="FFC000"/>
          </w:tcPr>
          <w:p w14:paraId="1A7248BB" w14:textId="77777777" w:rsidR="001E6093" w:rsidRPr="00CD50F5" w:rsidRDefault="001E6093" w:rsidP="001E6093">
            <w:pPr>
              <w:jc w:val="both"/>
              <w:rPr>
                <w:color w:val="000000"/>
                <w:sz w:val="20"/>
              </w:rPr>
            </w:pPr>
          </w:p>
        </w:tc>
      </w:tr>
    </w:tbl>
    <w:p w14:paraId="5FFB5015" w14:textId="19E44774" w:rsidR="001F0832" w:rsidRDefault="001F0832" w:rsidP="001F0832">
      <w:pPr>
        <w:jc w:val="both"/>
        <w:rPr>
          <w:color w:val="000000"/>
        </w:rPr>
      </w:pPr>
    </w:p>
    <w:p w14:paraId="7AFE0216" w14:textId="73DE6309" w:rsidR="00B470D9" w:rsidRPr="00CC7D5C" w:rsidRDefault="00B470D9" w:rsidP="00B470D9">
      <w:pPr>
        <w:tabs>
          <w:tab w:val="left" w:pos="709"/>
        </w:tabs>
        <w:ind w:right="-49"/>
        <w:jc w:val="both"/>
        <w:rPr>
          <w:b/>
          <w:sz w:val="28"/>
          <w:szCs w:val="28"/>
        </w:rPr>
      </w:pPr>
      <w:r>
        <w:rPr>
          <w:rFonts w:cs="Arial"/>
          <w:b/>
          <w:sz w:val="28"/>
          <w:szCs w:val="28"/>
          <w:lang w:val="en-US" w:eastAsia="en-GB"/>
        </w:rPr>
        <w:t>2</w:t>
      </w:r>
      <w:r w:rsidRPr="00CC7D5C">
        <w:rPr>
          <w:rFonts w:cs="Arial"/>
          <w:b/>
          <w:sz w:val="28"/>
          <w:szCs w:val="28"/>
          <w:lang w:val="en-US" w:eastAsia="en-GB"/>
        </w:rPr>
        <w:t>.</w:t>
      </w:r>
      <w:r w:rsidR="00CE39F9">
        <w:rPr>
          <w:rFonts w:cs="Arial"/>
          <w:b/>
          <w:sz w:val="28"/>
          <w:szCs w:val="28"/>
          <w:lang w:val="en-US" w:eastAsia="en-GB"/>
        </w:rPr>
        <w:t>9</w:t>
      </w:r>
      <w:r w:rsidRPr="00CC7D5C">
        <w:rPr>
          <w:rFonts w:cs="Arial"/>
          <w:b/>
          <w:sz w:val="28"/>
          <w:szCs w:val="28"/>
          <w:lang w:val="en-US" w:eastAsia="en-GB"/>
        </w:rPr>
        <w:tab/>
      </w:r>
      <w:r w:rsidRPr="00CC7D5C">
        <w:rPr>
          <w:rFonts w:cs="Arial"/>
          <w:b/>
          <w:sz w:val="28"/>
          <w:szCs w:val="28"/>
          <w:lang w:val="en-US" w:eastAsia="en-GB"/>
        </w:rPr>
        <w:tab/>
      </w:r>
      <w:r w:rsidRPr="00CC7D5C">
        <w:rPr>
          <w:b/>
          <w:sz w:val="28"/>
          <w:szCs w:val="28"/>
        </w:rPr>
        <w:t>Equalities implications</w:t>
      </w:r>
    </w:p>
    <w:p w14:paraId="7DA30059" w14:textId="279263C9" w:rsidR="00B470D9" w:rsidRDefault="00B470D9" w:rsidP="00B470D9">
      <w:pPr>
        <w:ind w:left="709" w:firstLine="11"/>
        <w:jc w:val="both"/>
        <w:rPr>
          <w:color w:val="000000"/>
        </w:rPr>
      </w:pPr>
      <w:r w:rsidRPr="00574F38">
        <w:rPr>
          <w:color w:val="000000"/>
        </w:rPr>
        <w:t>A</w:t>
      </w:r>
      <w:r w:rsidR="00077D71">
        <w:rPr>
          <w:color w:val="000000"/>
        </w:rPr>
        <w:t xml:space="preserve"> predictive </w:t>
      </w:r>
      <w:r w:rsidRPr="00574F38">
        <w:rPr>
          <w:color w:val="000000"/>
        </w:rPr>
        <w:t xml:space="preserve">Equalities Impact Assessment has been undertaken </w:t>
      </w:r>
      <w:r>
        <w:rPr>
          <w:color w:val="000000"/>
        </w:rPr>
        <w:t xml:space="preserve">in relation to the policy and </w:t>
      </w:r>
      <w:r w:rsidRPr="00574F38">
        <w:rPr>
          <w:color w:val="000000"/>
        </w:rPr>
        <w:t xml:space="preserve">is attached. </w:t>
      </w:r>
    </w:p>
    <w:p w14:paraId="715147FF" w14:textId="77777777" w:rsidR="00B470D9" w:rsidRPr="00F975E6" w:rsidRDefault="00B470D9" w:rsidP="00B470D9">
      <w:pPr>
        <w:keepNext/>
        <w:jc w:val="both"/>
      </w:pPr>
    </w:p>
    <w:p w14:paraId="5643F09B" w14:textId="77777777" w:rsidR="00B470D9" w:rsidRPr="00F975E6" w:rsidRDefault="00B470D9" w:rsidP="00B470D9">
      <w:pPr>
        <w:keepNext/>
        <w:ind w:left="709"/>
        <w:jc w:val="both"/>
      </w:pPr>
      <w:r w:rsidRPr="00F975E6">
        <w:t>When making this decision, Cabinet should have due regard to the Public Sector Equality Duty</w:t>
      </w:r>
      <w:r>
        <w:t xml:space="preserve">. </w:t>
      </w:r>
      <w:r w:rsidRPr="00F975E6">
        <w:t xml:space="preserve">Section 149 of the Equalities Act 2010 created the Public Sector Equality Duty.  Section149 </w:t>
      </w:r>
      <w:proofErr w:type="gramStart"/>
      <w:r w:rsidRPr="00F975E6">
        <w:t>states:-</w:t>
      </w:r>
      <w:proofErr w:type="gramEnd"/>
    </w:p>
    <w:p w14:paraId="0772449A" w14:textId="77777777" w:rsidR="00B470D9" w:rsidRPr="00F975E6" w:rsidRDefault="00B470D9" w:rsidP="00B470D9">
      <w:pPr>
        <w:jc w:val="both"/>
      </w:pPr>
    </w:p>
    <w:p w14:paraId="45BE76B3" w14:textId="77777777" w:rsidR="00B470D9" w:rsidRPr="00F975E6" w:rsidRDefault="00B470D9" w:rsidP="00B470D9">
      <w:pPr>
        <w:ind w:left="1134" w:hanging="425"/>
        <w:jc w:val="both"/>
        <w:rPr>
          <w:rFonts w:cs="Arial"/>
          <w:iCs/>
          <w:szCs w:val="24"/>
          <w:lang w:eastAsia="en-GB"/>
        </w:rPr>
      </w:pPr>
      <w:r w:rsidRPr="00F975E6">
        <w:rPr>
          <w:rFonts w:cs="Arial"/>
          <w:iCs/>
          <w:szCs w:val="24"/>
          <w:lang w:eastAsia="en-GB"/>
        </w:rPr>
        <w:t>(1)</w:t>
      </w:r>
      <w:r w:rsidRPr="00F975E6">
        <w:rPr>
          <w:rFonts w:cs="Arial"/>
          <w:iCs/>
          <w:szCs w:val="24"/>
          <w:lang w:eastAsia="en-GB"/>
        </w:rPr>
        <w:tab/>
        <w:t>A public authority must, in the exercise of its functions, have due regard to the need to:</w:t>
      </w:r>
    </w:p>
    <w:p w14:paraId="36DC980E" w14:textId="77777777" w:rsidR="00B470D9" w:rsidRPr="00F975E6" w:rsidRDefault="00B470D9" w:rsidP="00B470D9">
      <w:pPr>
        <w:ind w:left="1134" w:hanging="425"/>
        <w:jc w:val="both"/>
        <w:rPr>
          <w:rFonts w:cs="Arial"/>
          <w:iCs/>
          <w:szCs w:val="24"/>
          <w:lang w:eastAsia="en-GB"/>
        </w:rPr>
      </w:pPr>
    </w:p>
    <w:p w14:paraId="47C2218F" w14:textId="77777777" w:rsidR="00B470D9" w:rsidRPr="00F975E6" w:rsidRDefault="00B470D9" w:rsidP="00B470D9">
      <w:pPr>
        <w:ind w:left="1134" w:hanging="425"/>
        <w:jc w:val="both"/>
        <w:rPr>
          <w:rFonts w:cs="Arial"/>
          <w:iCs/>
          <w:szCs w:val="24"/>
          <w:lang w:eastAsia="en-GB"/>
        </w:rPr>
      </w:pPr>
      <w:r w:rsidRPr="00F975E6">
        <w:rPr>
          <w:rFonts w:cs="Arial"/>
          <w:iCs/>
          <w:szCs w:val="24"/>
          <w:lang w:eastAsia="en-GB"/>
        </w:rPr>
        <w:t>(a)</w:t>
      </w:r>
      <w:r w:rsidRPr="00F975E6">
        <w:rPr>
          <w:rFonts w:cs="Arial"/>
          <w:iCs/>
          <w:szCs w:val="24"/>
          <w:lang w:eastAsia="en-GB"/>
        </w:rPr>
        <w:tab/>
        <w:t xml:space="preserve">eliminate discrimination, harassment, victimisation and any other conduct that is prohibited by or under this </w:t>
      </w:r>
      <w:proofErr w:type="gramStart"/>
      <w:r w:rsidRPr="00F975E6">
        <w:rPr>
          <w:rFonts w:cs="Arial"/>
          <w:iCs/>
          <w:szCs w:val="24"/>
          <w:lang w:eastAsia="en-GB"/>
        </w:rPr>
        <w:t>Act;</w:t>
      </w:r>
      <w:proofErr w:type="gramEnd"/>
    </w:p>
    <w:p w14:paraId="7D8E47EF" w14:textId="77777777" w:rsidR="00B470D9" w:rsidRPr="00F975E6" w:rsidRDefault="00B470D9" w:rsidP="00B470D9">
      <w:pPr>
        <w:ind w:left="1134" w:hanging="425"/>
        <w:jc w:val="both"/>
        <w:rPr>
          <w:rFonts w:cs="Arial"/>
          <w:iCs/>
          <w:szCs w:val="24"/>
          <w:lang w:eastAsia="en-GB"/>
        </w:rPr>
      </w:pPr>
    </w:p>
    <w:p w14:paraId="566A859F" w14:textId="77777777" w:rsidR="00B470D9" w:rsidRPr="00F975E6" w:rsidRDefault="00B470D9" w:rsidP="00B470D9">
      <w:pPr>
        <w:ind w:left="1134" w:hanging="425"/>
        <w:jc w:val="both"/>
        <w:rPr>
          <w:rFonts w:cs="Arial"/>
          <w:iCs/>
          <w:szCs w:val="24"/>
          <w:lang w:eastAsia="en-GB"/>
        </w:rPr>
      </w:pPr>
      <w:r w:rsidRPr="00F975E6">
        <w:rPr>
          <w:rFonts w:cs="Arial"/>
          <w:iCs/>
          <w:szCs w:val="24"/>
          <w:lang w:eastAsia="en-GB"/>
        </w:rPr>
        <w:t>(b)</w:t>
      </w:r>
      <w:r w:rsidRPr="00F975E6">
        <w:rPr>
          <w:rFonts w:cs="Arial"/>
          <w:iCs/>
          <w:szCs w:val="24"/>
          <w:lang w:eastAsia="en-GB"/>
        </w:rPr>
        <w:tab/>
        <w:t xml:space="preserve">advance equality of opportunity between persons who share a relevant protected characteristic and persons who do not share </w:t>
      </w:r>
      <w:proofErr w:type="gramStart"/>
      <w:r w:rsidRPr="00F975E6">
        <w:rPr>
          <w:rFonts w:cs="Arial"/>
          <w:iCs/>
          <w:szCs w:val="24"/>
          <w:lang w:eastAsia="en-GB"/>
        </w:rPr>
        <w:t>it;</w:t>
      </w:r>
      <w:proofErr w:type="gramEnd"/>
    </w:p>
    <w:p w14:paraId="4F9510E2" w14:textId="77777777" w:rsidR="00B470D9" w:rsidRPr="00F975E6" w:rsidRDefault="00B470D9" w:rsidP="00B470D9">
      <w:pPr>
        <w:ind w:left="1134" w:hanging="425"/>
        <w:jc w:val="both"/>
        <w:rPr>
          <w:rFonts w:cs="Arial"/>
          <w:iCs/>
          <w:szCs w:val="24"/>
          <w:lang w:eastAsia="en-GB"/>
        </w:rPr>
      </w:pPr>
    </w:p>
    <w:p w14:paraId="24B58C10" w14:textId="77777777" w:rsidR="00B470D9" w:rsidRPr="00F975E6" w:rsidRDefault="00B470D9" w:rsidP="00B470D9">
      <w:pPr>
        <w:numPr>
          <w:ilvl w:val="0"/>
          <w:numId w:val="13"/>
        </w:numPr>
        <w:jc w:val="both"/>
        <w:rPr>
          <w:rFonts w:cs="Arial"/>
          <w:iCs/>
          <w:szCs w:val="24"/>
          <w:lang w:eastAsia="en-GB"/>
        </w:rPr>
      </w:pPr>
      <w:r w:rsidRPr="00F975E6">
        <w:rPr>
          <w:rFonts w:cs="Arial"/>
          <w:iCs/>
          <w:szCs w:val="24"/>
          <w:lang w:eastAsia="en-GB"/>
        </w:rPr>
        <w:t>foster good relations between persons who share a relevant protected characteristic and persons who do not share it.</w:t>
      </w:r>
    </w:p>
    <w:p w14:paraId="63CB131C" w14:textId="77777777" w:rsidR="00B470D9" w:rsidRPr="00F975E6" w:rsidRDefault="00B470D9" w:rsidP="00B470D9">
      <w:pPr>
        <w:jc w:val="both"/>
      </w:pPr>
    </w:p>
    <w:p w14:paraId="00A8F616" w14:textId="7A678198" w:rsidR="00B470D9" w:rsidRDefault="00B470D9" w:rsidP="00B470D9">
      <w:pPr>
        <w:ind w:left="709" w:hanging="709"/>
        <w:jc w:val="both"/>
        <w:rPr>
          <w:szCs w:val="24"/>
          <w:lang w:val="en-US"/>
        </w:rPr>
      </w:pPr>
      <w:r>
        <w:rPr>
          <w:szCs w:val="24"/>
          <w:lang w:val="en-US"/>
        </w:rPr>
        <w:t>2</w:t>
      </w:r>
      <w:r w:rsidRPr="00B20CF9">
        <w:rPr>
          <w:szCs w:val="24"/>
          <w:lang w:val="en-US"/>
        </w:rPr>
        <w:t>.</w:t>
      </w:r>
      <w:r w:rsidR="00CE39F9">
        <w:rPr>
          <w:szCs w:val="24"/>
          <w:lang w:val="en-US"/>
        </w:rPr>
        <w:t>10</w:t>
      </w:r>
      <w:r w:rsidRPr="00B20CF9">
        <w:rPr>
          <w:szCs w:val="24"/>
          <w:lang w:val="en-US"/>
        </w:rPr>
        <w:tab/>
        <w:t xml:space="preserve">The </w:t>
      </w:r>
      <w:proofErr w:type="spellStart"/>
      <w:r w:rsidRPr="00B20CF9">
        <w:rPr>
          <w:szCs w:val="24"/>
          <w:lang w:val="en-US"/>
        </w:rPr>
        <w:t>EqIA</w:t>
      </w:r>
      <w:proofErr w:type="spellEnd"/>
      <w:r w:rsidRPr="00B20CF9">
        <w:rPr>
          <w:szCs w:val="24"/>
          <w:lang w:val="en-US"/>
        </w:rPr>
        <w:t xml:space="preserve"> </w:t>
      </w:r>
      <w:r>
        <w:rPr>
          <w:szCs w:val="24"/>
          <w:lang w:val="en-US"/>
        </w:rPr>
        <w:t xml:space="preserve">(Appendix 2) </w:t>
      </w:r>
      <w:r w:rsidRPr="00B20CF9">
        <w:rPr>
          <w:szCs w:val="24"/>
          <w:lang w:val="en-US"/>
        </w:rPr>
        <w:t xml:space="preserve">shows that potential recipients of relief would be </w:t>
      </w:r>
      <w:r w:rsidR="00D275A4" w:rsidRPr="00520371">
        <w:rPr>
          <w:szCs w:val="24"/>
          <w:lang w:val="en-US"/>
        </w:rPr>
        <w:t xml:space="preserve">around </w:t>
      </w:r>
      <w:r w:rsidR="00C54DE0">
        <w:rPr>
          <w:szCs w:val="24"/>
          <w:lang w:val="en-US"/>
        </w:rPr>
        <w:t>1</w:t>
      </w:r>
      <w:r w:rsidR="00196919" w:rsidRPr="00520371">
        <w:rPr>
          <w:szCs w:val="24"/>
          <w:lang w:val="en-US"/>
        </w:rPr>
        <w:t>4</w:t>
      </w:r>
      <w:r w:rsidR="00EA2A41" w:rsidRPr="00520371">
        <w:rPr>
          <w:szCs w:val="24"/>
          <w:lang w:val="en-US"/>
        </w:rPr>
        <w:t>00</w:t>
      </w:r>
      <w:r w:rsidRPr="00520371">
        <w:rPr>
          <w:szCs w:val="24"/>
          <w:lang w:val="en-US"/>
        </w:rPr>
        <w:t xml:space="preserve"> traders, spread </w:t>
      </w:r>
      <w:r w:rsidRPr="00B20CF9">
        <w:rPr>
          <w:szCs w:val="24"/>
          <w:lang w:val="en-US"/>
        </w:rPr>
        <w:t>across the borough. Occupiers of properties</w:t>
      </w:r>
      <w:r>
        <w:rPr>
          <w:szCs w:val="24"/>
          <w:lang w:val="en-US"/>
        </w:rPr>
        <w:t xml:space="preserve"> </w:t>
      </w:r>
      <w:r w:rsidR="00522BA9">
        <w:rPr>
          <w:szCs w:val="24"/>
          <w:lang w:val="en-US"/>
        </w:rPr>
        <w:t xml:space="preserve">who have already received certain discounts </w:t>
      </w:r>
      <w:r w:rsidR="00421372">
        <w:rPr>
          <w:szCs w:val="24"/>
          <w:lang w:val="en-US"/>
        </w:rPr>
        <w:t xml:space="preserve">for the same period </w:t>
      </w:r>
      <w:r w:rsidRPr="00B20CF9">
        <w:rPr>
          <w:szCs w:val="24"/>
          <w:lang w:val="en-US"/>
        </w:rPr>
        <w:t>will not benefit from the proposed scheme</w:t>
      </w:r>
      <w:r w:rsidR="004C1A4E">
        <w:rPr>
          <w:szCs w:val="24"/>
          <w:lang w:val="en-US"/>
        </w:rPr>
        <w:t>, and neither will traders who have already received business support grants from the local authority</w:t>
      </w:r>
      <w:r w:rsidRPr="00B20CF9">
        <w:rPr>
          <w:szCs w:val="24"/>
          <w:lang w:val="en-US"/>
        </w:rPr>
        <w:t xml:space="preserve">. This may mean that the proposal has an adverse impact on these traders. </w:t>
      </w:r>
    </w:p>
    <w:p w14:paraId="6CF56675" w14:textId="77777777" w:rsidR="00B470D9" w:rsidRPr="001C1839" w:rsidRDefault="00B470D9" w:rsidP="00B470D9">
      <w:pPr>
        <w:ind w:left="709" w:hanging="709"/>
        <w:jc w:val="both"/>
        <w:rPr>
          <w:color w:val="FF0000"/>
          <w:szCs w:val="24"/>
          <w:lang w:val="en-US"/>
        </w:rPr>
      </w:pPr>
    </w:p>
    <w:p w14:paraId="1D6886C0" w14:textId="77777777" w:rsidR="00B470D9" w:rsidRPr="00397B96" w:rsidRDefault="00B470D9" w:rsidP="00B470D9">
      <w:pPr>
        <w:ind w:left="709"/>
        <w:jc w:val="both"/>
        <w:rPr>
          <w:szCs w:val="24"/>
          <w:lang w:val="en-US"/>
        </w:rPr>
      </w:pPr>
      <w:proofErr w:type="gramStart"/>
      <w:r w:rsidRPr="00520371">
        <w:rPr>
          <w:szCs w:val="24"/>
          <w:lang w:val="en-US"/>
        </w:rPr>
        <w:t>Overall</w:t>
      </w:r>
      <w:proofErr w:type="gramEnd"/>
      <w:r w:rsidRPr="00520371">
        <w:rPr>
          <w:szCs w:val="24"/>
          <w:lang w:val="en-US"/>
        </w:rPr>
        <w:t xml:space="preserve"> there were no adverse impacts found on protected groups should Harrow implement this policy; </w:t>
      </w:r>
      <w:r>
        <w:rPr>
          <w:szCs w:val="24"/>
          <w:lang w:val="en-US"/>
        </w:rPr>
        <w:t>rather all impacts are potentially positive and would benefit qualifying traders in the current economic climate due to the potential reduction it would have on the amount of Business Rates qualifying ratepayers would have to pay.</w:t>
      </w:r>
    </w:p>
    <w:p w14:paraId="4E063683" w14:textId="77777777" w:rsidR="00B470D9" w:rsidRPr="00B20CF9" w:rsidRDefault="00B470D9" w:rsidP="00B470D9">
      <w:pPr>
        <w:ind w:left="709"/>
        <w:jc w:val="both"/>
        <w:rPr>
          <w:szCs w:val="24"/>
          <w:lang w:val="en-US"/>
        </w:rPr>
      </w:pPr>
    </w:p>
    <w:p w14:paraId="6A018D1B" w14:textId="65E2A036" w:rsidR="00B470D9" w:rsidRPr="00CC7D5C" w:rsidRDefault="00B470D9" w:rsidP="00B470D9">
      <w:pPr>
        <w:ind w:firstLine="11"/>
        <w:jc w:val="both"/>
        <w:rPr>
          <w:rFonts w:cs="Arial"/>
          <w:b/>
          <w:sz w:val="28"/>
          <w:szCs w:val="28"/>
          <w:lang w:val="en-US"/>
        </w:rPr>
      </w:pPr>
      <w:r w:rsidRPr="00CC7D5C">
        <w:rPr>
          <w:b/>
          <w:sz w:val="28"/>
          <w:szCs w:val="28"/>
        </w:rPr>
        <w:t>Corporate Priorities</w:t>
      </w:r>
    </w:p>
    <w:p w14:paraId="588F3919" w14:textId="77777777" w:rsidR="00B470D9" w:rsidRDefault="00B470D9" w:rsidP="00116215">
      <w:pPr>
        <w:jc w:val="both"/>
        <w:rPr>
          <w:rFonts w:cs="Arial"/>
        </w:rPr>
      </w:pPr>
      <w:r w:rsidRPr="00916D16">
        <w:rPr>
          <w:rFonts w:cs="Arial"/>
        </w:rPr>
        <w:t>Th</w:t>
      </w:r>
      <w:r>
        <w:rPr>
          <w:rFonts w:cs="Arial"/>
        </w:rPr>
        <w:t>is</w:t>
      </w:r>
      <w:r w:rsidRPr="00916D16">
        <w:rPr>
          <w:rFonts w:cs="Arial"/>
        </w:rPr>
        <w:t xml:space="preserve"> </w:t>
      </w:r>
      <w:r>
        <w:rPr>
          <w:rFonts w:cs="Arial"/>
        </w:rPr>
        <w:t>report supports the local economy by adopting Government guidance and allowing Harrow to exercise s47 discretion to deliver targeted financial support to eligible local traders.</w:t>
      </w:r>
    </w:p>
    <w:p w14:paraId="098E4A54" w14:textId="77777777" w:rsidR="00B470D9" w:rsidRDefault="00B470D9" w:rsidP="00B470D9">
      <w:pPr>
        <w:ind w:left="720"/>
        <w:jc w:val="both"/>
        <w:rPr>
          <w:rFonts w:cs="Arial"/>
        </w:rPr>
      </w:pPr>
    </w:p>
    <w:p w14:paraId="2FA31EC0" w14:textId="2BFCDBED" w:rsidR="005F4153" w:rsidRPr="005F4153" w:rsidRDefault="005F4153" w:rsidP="005F4153">
      <w:pPr>
        <w:jc w:val="both"/>
        <w:rPr>
          <w:b/>
          <w:color w:val="000000"/>
          <w:sz w:val="28"/>
          <w:szCs w:val="28"/>
        </w:rPr>
      </w:pPr>
      <w:r w:rsidRPr="005F4153">
        <w:rPr>
          <w:b/>
          <w:color w:val="000000"/>
          <w:sz w:val="28"/>
          <w:szCs w:val="28"/>
        </w:rPr>
        <w:t>Environmental Imp</w:t>
      </w:r>
      <w:r w:rsidR="002B4DD9">
        <w:rPr>
          <w:b/>
          <w:color w:val="000000"/>
          <w:sz w:val="28"/>
          <w:szCs w:val="28"/>
        </w:rPr>
        <w:t>lications</w:t>
      </w:r>
    </w:p>
    <w:p w14:paraId="2FA31EC1" w14:textId="2FC42FB9" w:rsidR="005F4153" w:rsidRDefault="005F4153" w:rsidP="005F4153">
      <w:pPr>
        <w:jc w:val="both"/>
        <w:rPr>
          <w:color w:val="000000"/>
        </w:rPr>
      </w:pPr>
      <w:r w:rsidRPr="005F4153">
        <w:rPr>
          <w:color w:val="000000"/>
        </w:rPr>
        <w:t xml:space="preserve">There are no direct environmental impacts anticipated from the recommendations contained within this report.  </w:t>
      </w:r>
    </w:p>
    <w:p w14:paraId="14679258" w14:textId="6465EE0B" w:rsidR="00B5325A" w:rsidRDefault="00B5325A" w:rsidP="005F4153">
      <w:pPr>
        <w:jc w:val="both"/>
        <w:rPr>
          <w:color w:val="000000"/>
        </w:rPr>
      </w:pPr>
    </w:p>
    <w:p w14:paraId="30067781" w14:textId="55134927" w:rsidR="00B5325A" w:rsidRPr="005F4153" w:rsidRDefault="00B5325A" w:rsidP="00B5325A">
      <w:pPr>
        <w:jc w:val="both"/>
        <w:rPr>
          <w:b/>
          <w:color w:val="000000"/>
          <w:sz w:val="28"/>
          <w:szCs w:val="28"/>
        </w:rPr>
      </w:pPr>
      <w:r>
        <w:rPr>
          <w:b/>
          <w:color w:val="000000"/>
          <w:sz w:val="28"/>
          <w:szCs w:val="28"/>
        </w:rPr>
        <w:t>Data</w:t>
      </w:r>
      <w:r w:rsidRPr="00B5325A">
        <w:rPr>
          <w:b/>
          <w:color w:val="000000"/>
          <w:sz w:val="28"/>
          <w:szCs w:val="28"/>
        </w:rPr>
        <w:t xml:space="preserve"> </w:t>
      </w:r>
      <w:r w:rsidR="00B7434A">
        <w:rPr>
          <w:b/>
          <w:color w:val="000000"/>
          <w:sz w:val="28"/>
          <w:szCs w:val="28"/>
        </w:rPr>
        <w:t>Protection Implications</w:t>
      </w:r>
    </w:p>
    <w:p w14:paraId="47316FBE" w14:textId="75454F98" w:rsidR="00B7434A" w:rsidRDefault="00B5325A" w:rsidP="00B5325A">
      <w:pPr>
        <w:jc w:val="both"/>
        <w:rPr>
          <w:color w:val="000000"/>
        </w:rPr>
      </w:pPr>
      <w:r w:rsidRPr="005F4153">
        <w:rPr>
          <w:color w:val="000000"/>
        </w:rPr>
        <w:t xml:space="preserve">There are no direct </w:t>
      </w:r>
      <w:r w:rsidR="00B7434A">
        <w:rPr>
          <w:color w:val="000000"/>
        </w:rPr>
        <w:t xml:space="preserve">data protection </w:t>
      </w:r>
      <w:r w:rsidRPr="005F4153">
        <w:rPr>
          <w:color w:val="000000"/>
        </w:rPr>
        <w:t>impacts anticipated from the recommendations contained within this report.</w:t>
      </w:r>
    </w:p>
    <w:p w14:paraId="7F0B5E2B" w14:textId="413C96FE" w:rsidR="00486CB3" w:rsidRDefault="00486CB3" w:rsidP="00B5325A">
      <w:pPr>
        <w:jc w:val="both"/>
        <w:rPr>
          <w:color w:val="000000"/>
        </w:rPr>
      </w:pPr>
    </w:p>
    <w:p w14:paraId="6A877C17" w14:textId="15285F56" w:rsidR="00486CB3" w:rsidRPr="005F4153" w:rsidRDefault="00486CB3" w:rsidP="00486CB3">
      <w:pPr>
        <w:jc w:val="both"/>
        <w:rPr>
          <w:b/>
          <w:color w:val="000000"/>
          <w:sz w:val="28"/>
          <w:szCs w:val="28"/>
        </w:rPr>
      </w:pPr>
      <w:r>
        <w:rPr>
          <w:b/>
          <w:color w:val="000000"/>
          <w:sz w:val="28"/>
          <w:szCs w:val="28"/>
        </w:rPr>
        <w:t>Procurement Implications</w:t>
      </w:r>
    </w:p>
    <w:p w14:paraId="6AB06FF2" w14:textId="702FCE26" w:rsidR="00486CB3" w:rsidRDefault="00486CB3" w:rsidP="00486CB3">
      <w:pPr>
        <w:jc w:val="both"/>
        <w:rPr>
          <w:color w:val="000000"/>
        </w:rPr>
      </w:pPr>
      <w:r w:rsidRPr="005F4153">
        <w:rPr>
          <w:color w:val="000000"/>
        </w:rPr>
        <w:t xml:space="preserve">There are no </w:t>
      </w:r>
      <w:r>
        <w:rPr>
          <w:color w:val="000000"/>
        </w:rPr>
        <w:t>procurement</w:t>
      </w:r>
      <w:r w:rsidR="00BC7218">
        <w:rPr>
          <w:color w:val="000000"/>
        </w:rPr>
        <w:t xml:space="preserve"> </w:t>
      </w:r>
      <w:r w:rsidRPr="005F4153">
        <w:rPr>
          <w:color w:val="000000"/>
        </w:rPr>
        <w:t>impacts anticipated from the recommendations contained within this report.</w:t>
      </w:r>
    </w:p>
    <w:p w14:paraId="6C49E73A" w14:textId="77777777" w:rsidR="00E02F48" w:rsidRDefault="00E02F48" w:rsidP="003D073F">
      <w:pPr>
        <w:pStyle w:val="Heading1"/>
        <w:keepNext/>
      </w:pPr>
    </w:p>
    <w:p w14:paraId="02F3F7DD" w14:textId="6582F6FB" w:rsidR="003D073F" w:rsidRDefault="003D073F" w:rsidP="003D073F">
      <w:pPr>
        <w:pStyle w:val="Heading1"/>
        <w:keepNext/>
      </w:pPr>
      <w:r>
        <w:t>Section 3 - Statutory Officer Clearance</w:t>
      </w:r>
    </w:p>
    <w:p w14:paraId="647894DA" w14:textId="77777777" w:rsidR="003D073F" w:rsidRDefault="003D073F" w:rsidP="003D073F"/>
    <w:p w14:paraId="00F3588D" w14:textId="19CE5543" w:rsidR="003D073F" w:rsidRPr="00A66326" w:rsidRDefault="003D073F" w:rsidP="003D073F">
      <w:pPr>
        <w:rPr>
          <w:sz w:val="28"/>
        </w:rPr>
      </w:pPr>
      <w:r w:rsidRPr="00A66326">
        <w:rPr>
          <w:b/>
          <w:sz w:val="28"/>
        </w:rPr>
        <w:t xml:space="preserve">Statutory Officer:  </w:t>
      </w:r>
      <w:r w:rsidR="00D04E80">
        <w:rPr>
          <w:b/>
          <w:sz w:val="28"/>
        </w:rPr>
        <w:t>Dawn Calvert</w:t>
      </w:r>
    </w:p>
    <w:p w14:paraId="1298CC2D" w14:textId="0F56108B" w:rsidR="003D073F" w:rsidRPr="00A66326" w:rsidRDefault="003D073F" w:rsidP="003D073F">
      <w:r w:rsidRPr="00A66326">
        <w:t xml:space="preserve">Signed </w:t>
      </w:r>
      <w:r w:rsidR="001651D0">
        <w:t>off by</w:t>
      </w:r>
      <w:r>
        <w:t xml:space="preserve"> </w:t>
      </w:r>
      <w:r w:rsidRPr="00A66326">
        <w:t>the Chief Financial Officer</w:t>
      </w:r>
    </w:p>
    <w:p w14:paraId="0ADDA19C" w14:textId="5634E618" w:rsidR="003D073F" w:rsidRPr="00A66326" w:rsidRDefault="003D073F" w:rsidP="003D073F">
      <w:pPr>
        <w:spacing w:after="480"/>
        <w:rPr>
          <w:sz w:val="28"/>
        </w:rPr>
      </w:pPr>
      <w:r w:rsidRPr="00B679E6">
        <w:rPr>
          <w:b/>
          <w:sz w:val="28"/>
        </w:rPr>
        <w:t>Date:</w:t>
      </w:r>
      <w:r w:rsidRPr="00A66326">
        <w:rPr>
          <w:b/>
          <w:sz w:val="28"/>
        </w:rPr>
        <w:t xml:space="preserve">  </w:t>
      </w:r>
      <w:r w:rsidR="00414374">
        <w:rPr>
          <w:b/>
          <w:sz w:val="28"/>
        </w:rPr>
        <w:t>13</w:t>
      </w:r>
      <w:r w:rsidR="0066340A">
        <w:rPr>
          <w:b/>
          <w:sz w:val="28"/>
        </w:rPr>
        <w:t xml:space="preserve"> June</w:t>
      </w:r>
      <w:r w:rsidRPr="004B6007">
        <w:rPr>
          <w:b/>
          <w:sz w:val="28"/>
        </w:rPr>
        <w:t xml:space="preserve"> 202</w:t>
      </w:r>
      <w:r w:rsidR="0066340A">
        <w:rPr>
          <w:b/>
          <w:sz w:val="28"/>
        </w:rPr>
        <w:t>2</w:t>
      </w:r>
    </w:p>
    <w:p w14:paraId="738D92AE" w14:textId="41C7E90E" w:rsidR="003D073F" w:rsidRPr="00A66326" w:rsidRDefault="003D073F" w:rsidP="003D073F">
      <w:pPr>
        <w:rPr>
          <w:sz w:val="28"/>
        </w:rPr>
      </w:pPr>
      <w:r w:rsidRPr="00A66326">
        <w:rPr>
          <w:b/>
          <w:sz w:val="28"/>
        </w:rPr>
        <w:t xml:space="preserve">Statutory Officer:  </w:t>
      </w:r>
      <w:r w:rsidR="007A6F68" w:rsidRPr="007A6F68">
        <w:rPr>
          <w:b/>
          <w:sz w:val="28"/>
        </w:rPr>
        <w:t xml:space="preserve">Baljeet Virdee </w:t>
      </w:r>
    </w:p>
    <w:p w14:paraId="19411DD4" w14:textId="77777777" w:rsidR="003D073F" w:rsidRPr="00A66326" w:rsidRDefault="003D073F" w:rsidP="003D073F">
      <w:r w:rsidRPr="00A66326">
        <w:t>Signed on behalf of</w:t>
      </w:r>
      <w:r>
        <w:t xml:space="preserve"> </w:t>
      </w:r>
      <w:r w:rsidRPr="00A66326">
        <w:t>the Monitoring Officer</w:t>
      </w:r>
    </w:p>
    <w:p w14:paraId="72220C94" w14:textId="1D63BB51" w:rsidR="003D073F" w:rsidRPr="003313EA" w:rsidRDefault="003D073F" w:rsidP="003D073F">
      <w:pPr>
        <w:spacing w:after="480"/>
        <w:rPr>
          <w:sz w:val="28"/>
        </w:rPr>
      </w:pPr>
      <w:r w:rsidRPr="00A66326">
        <w:rPr>
          <w:b/>
          <w:sz w:val="28"/>
        </w:rPr>
        <w:t xml:space="preserve">Date: </w:t>
      </w:r>
      <w:r w:rsidR="00414374">
        <w:rPr>
          <w:b/>
          <w:sz w:val="28"/>
        </w:rPr>
        <w:t>13</w:t>
      </w:r>
      <w:r w:rsidR="0066340A">
        <w:rPr>
          <w:b/>
          <w:sz w:val="28"/>
        </w:rPr>
        <w:t xml:space="preserve"> June </w:t>
      </w:r>
      <w:r>
        <w:rPr>
          <w:b/>
          <w:sz w:val="28"/>
        </w:rPr>
        <w:t>202</w:t>
      </w:r>
      <w:r w:rsidR="0066340A">
        <w:rPr>
          <w:b/>
          <w:sz w:val="28"/>
        </w:rPr>
        <w:t>2</w:t>
      </w:r>
    </w:p>
    <w:p w14:paraId="1F497D4F" w14:textId="77777777" w:rsidR="003D073F" w:rsidRPr="004B6007" w:rsidRDefault="003D073F" w:rsidP="003D073F">
      <w:pPr>
        <w:rPr>
          <w:sz w:val="28"/>
        </w:rPr>
      </w:pPr>
      <w:r w:rsidRPr="004B6007">
        <w:rPr>
          <w:b/>
          <w:sz w:val="28"/>
        </w:rPr>
        <w:t>Chief Officer:  Charlie Stewart</w:t>
      </w:r>
    </w:p>
    <w:p w14:paraId="6158F6C5" w14:textId="77777777" w:rsidR="003D073F" w:rsidRPr="004B6007" w:rsidRDefault="003D073F" w:rsidP="003D073F">
      <w:r w:rsidRPr="004B6007">
        <w:t>Signed off by the Corporate Director</w:t>
      </w:r>
    </w:p>
    <w:p w14:paraId="2CFFD0D0" w14:textId="49AC253F" w:rsidR="003D073F" w:rsidRPr="00A66326" w:rsidRDefault="003D073F" w:rsidP="003D073F">
      <w:pPr>
        <w:spacing w:after="480"/>
        <w:rPr>
          <w:sz w:val="28"/>
        </w:rPr>
      </w:pPr>
      <w:r w:rsidRPr="00B679E6">
        <w:rPr>
          <w:b/>
          <w:sz w:val="28"/>
        </w:rPr>
        <w:t>Date:</w:t>
      </w:r>
      <w:r w:rsidRPr="00A66326">
        <w:rPr>
          <w:b/>
          <w:sz w:val="28"/>
        </w:rPr>
        <w:t xml:space="preserve">  </w:t>
      </w:r>
      <w:r w:rsidR="00414374">
        <w:rPr>
          <w:b/>
          <w:sz w:val="28"/>
        </w:rPr>
        <w:t>13</w:t>
      </w:r>
      <w:r w:rsidR="0066340A">
        <w:rPr>
          <w:b/>
          <w:sz w:val="28"/>
        </w:rPr>
        <w:t xml:space="preserve"> June</w:t>
      </w:r>
      <w:r w:rsidRPr="004B6007">
        <w:rPr>
          <w:b/>
          <w:sz w:val="28"/>
        </w:rPr>
        <w:t xml:space="preserve"> 202</w:t>
      </w:r>
      <w:r w:rsidR="0066340A">
        <w:rPr>
          <w:b/>
          <w:sz w:val="28"/>
        </w:rPr>
        <w:t>2</w:t>
      </w:r>
    </w:p>
    <w:p w14:paraId="6CFA8EF5" w14:textId="77777777" w:rsidR="003D073F" w:rsidRPr="00A66326" w:rsidRDefault="003D073F" w:rsidP="003D073F">
      <w:pPr>
        <w:rPr>
          <w:sz w:val="28"/>
        </w:rPr>
      </w:pPr>
      <w:r>
        <w:rPr>
          <w:b/>
          <w:sz w:val="28"/>
        </w:rPr>
        <w:lastRenderedPageBreak/>
        <w:t>Head of Procurement</w:t>
      </w:r>
      <w:r w:rsidRPr="00A66326">
        <w:rPr>
          <w:b/>
          <w:sz w:val="28"/>
        </w:rPr>
        <w:t xml:space="preserve">:  </w:t>
      </w:r>
      <w:r>
        <w:rPr>
          <w:b/>
          <w:sz w:val="28"/>
        </w:rPr>
        <w:t>Nimesh Mehta</w:t>
      </w:r>
    </w:p>
    <w:p w14:paraId="634B2D36" w14:textId="39F5D91C" w:rsidR="003D073F" w:rsidRPr="00A66326" w:rsidRDefault="003D073F" w:rsidP="003D073F">
      <w:r w:rsidRPr="00A66326">
        <w:t xml:space="preserve">Signed by the </w:t>
      </w:r>
      <w:r>
        <w:t>Head of Procurement</w:t>
      </w:r>
    </w:p>
    <w:p w14:paraId="56125326" w14:textId="72D3D81D" w:rsidR="003D073F" w:rsidRPr="003313EA" w:rsidRDefault="003D073F" w:rsidP="003D073F">
      <w:pPr>
        <w:spacing w:after="480"/>
        <w:rPr>
          <w:sz w:val="28"/>
        </w:rPr>
      </w:pPr>
      <w:r w:rsidRPr="00B679E6">
        <w:rPr>
          <w:b/>
          <w:sz w:val="28"/>
        </w:rPr>
        <w:t>Date:</w:t>
      </w:r>
      <w:r w:rsidRPr="00A66326">
        <w:rPr>
          <w:b/>
          <w:sz w:val="28"/>
        </w:rPr>
        <w:t xml:space="preserve">  </w:t>
      </w:r>
      <w:r w:rsidR="00414374">
        <w:rPr>
          <w:b/>
          <w:sz w:val="28"/>
        </w:rPr>
        <w:t>13</w:t>
      </w:r>
      <w:r w:rsidR="0066340A">
        <w:rPr>
          <w:b/>
          <w:sz w:val="28"/>
        </w:rPr>
        <w:t xml:space="preserve"> June</w:t>
      </w:r>
      <w:r w:rsidRPr="004B6007">
        <w:rPr>
          <w:b/>
          <w:sz w:val="28"/>
        </w:rPr>
        <w:t xml:space="preserve"> 202</w:t>
      </w:r>
      <w:r w:rsidR="0066340A">
        <w:rPr>
          <w:b/>
          <w:sz w:val="28"/>
        </w:rPr>
        <w:t>2</w:t>
      </w:r>
    </w:p>
    <w:p w14:paraId="180CAD2D" w14:textId="77777777" w:rsidR="003D073F" w:rsidRPr="00A66326" w:rsidRDefault="003D073F" w:rsidP="003D073F">
      <w:pPr>
        <w:rPr>
          <w:sz w:val="28"/>
        </w:rPr>
      </w:pPr>
      <w:r>
        <w:rPr>
          <w:b/>
          <w:sz w:val="28"/>
        </w:rPr>
        <w:t>Head of Internal Audit</w:t>
      </w:r>
      <w:r w:rsidRPr="00A66326">
        <w:rPr>
          <w:b/>
          <w:sz w:val="28"/>
        </w:rPr>
        <w:t xml:space="preserve">:  </w:t>
      </w:r>
      <w:r>
        <w:rPr>
          <w:b/>
          <w:sz w:val="28"/>
        </w:rPr>
        <w:t>Susan Dixson</w:t>
      </w:r>
    </w:p>
    <w:p w14:paraId="395C5F0E" w14:textId="2796C943" w:rsidR="003D073F" w:rsidRPr="00A66326" w:rsidRDefault="003D073F" w:rsidP="003D073F">
      <w:r w:rsidRPr="00A66326">
        <w:t xml:space="preserve">Signed by the </w:t>
      </w:r>
      <w:r>
        <w:t>Head of Internal Audit</w:t>
      </w:r>
    </w:p>
    <w:p w14:paraId="27B76F68" w14:textId="5EB3CAC2" w:rsidR="003D073F" w:rsidRDefault="003D073F" w:rsidP="003D073F">
      <w:pPr>
        <w:rPr>
          <w:b/>
          <w:sz w:val="28"/>
        </w:rPr>
      </w:pPr>
      <w:r w:rsidRPr="004B6007">
        <w:rPr>
          <w:b/>
          <w:sz w:val="28"/>
        </w:rPr>
        <w:t xml:space="preserve">Date: </w:t>
      </w:r>
      <w:r w:rsidR="00922F31">
        <w:rPr>
          <w:b/>
          <w:sz w:val="28"/>
        </w:rPr>
        <w:t>6</w:t>
      </w:r>
      <w:r w:rsidR="0066340A">
        <w:rPr>
          <w:b/>
          <w:sz w:val="28"/>
        </w:rPr>
        <w:t xml:space="preserve"> June</w:t>
      </w:r>
      <w:r w:rsidRPr="004B6007">
        <w:rPr>
          <w:b/>
          <w:sz w:val="28"/>
        </w:rPr>
        <w:t xml:space="preserve"> 202</w:t>
      </w:r>
      <w:r w:rsidR="0066340A">
        <w:rPr>
          <w:b/>
          <w:sz w:val="28"/>
        </w:rPr>
        <w:t>2</w:t>
      </w:r>
    </w:p>
    <w:p w14:paraId="4339C205" w14:textId="77777777" w:rsidR="003D073F" w:rsidRPr="00435B5D" w:rsidRDefault="003D073F" w:rsidP="003D073F">
      <w:pPr>
        <w:pStyle w:val="Heading2"/>
        <w:spacing w:before="480" w:after="240"/>
      </w:pPr>
      <w:r>
        <w:t>Mandatory Checks</w:t>
      </w:r>
    </w:p>
    <w:p w14:paraId="6C3A3E3C" w14:textId="77777777" w:rsidR="000A7397" w:rsidRDefault="003D073F" w:rsidP="000A7397">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5C81400C" w14:textId="77777777" w:rsidR="00E02F48" w:rsidRDefault="003D073F" w:rsidP="00E02F48">
      <w:pPr>
        <w:pStyle w:val="Heading3"/>
        <w:ind w:left="0" w:firstLine="0"/>
        <w:jc w:val="left"/>
      </w:pPr>
      <w:proofErr w:type="spellStart"/>
      <w:r w:rsidRPr="00202D79">
        <w:t>EqIA</w:t>
      </w:r>
      <w:proofErr w:type="spellEnd"/>
      <w:r w:rsidRPr="00202D79">
        <w:t xml:space="preserve"> carried out:</w:t>
      </w:r>
      <w:r>
        <w:t xml:space="preserve">  </w:t>
      </w:r>
      <w:r w:rsidR="000507F7">
        <w:t>Yes</w:t>
      </w:r>
    </w:p>
    <w:p w14:paraId="68A1CEF3" w14:textId="61C4F894" w:rsidR="003D073F" w:rsidRPr="00303FD6" w:rsidRDefault="003D073F" w:rsidP="00E02F48">
      <w:pPr>
        <w:pStyle w:val="Heading3"/>
        <w:ind w:left="0" w:firstLine="0"/>
        <w:jc w:val="left"/>
        <w:rPr>
          <w:color w:val="FF0000"/>
        </w:rPr>
      </w:pPr>
      <w:proofErr w:type="spellStart"/>
      <w:r w:rsidRPr="00202D79">
        <w:t>EqIA</w:t>
      </w:r>
      <w:proofErr w:type="spellEnd"/>
      <w:r w:rsidRPr="00202D79">
        <w:t xml:space="preserve"> cleared </w:t>
      </w:r>
      <w:proofErr w:type="gramStart"/>
      <w:r w:rsidRPr="00202D79">
        <w:t>by</w:t>
      </w:r>
      <w:r w:rsidRPr="002A5934">
        <w:rPr>
          <w:color w:val="FF0000"/>
        </w:rPr>
        <w:t>:</w:t>
      </w:r>
      <w:proofErr w:type="gramEnd"/>
      <w:r w:rsidRPr="002A5934">
        <w:rPr>
          <w:color w:val="FF0000"/>
        </w:rPr>
        <w:t xml:space="preserve">  </w:t>
      </w:r>
      <w:r w:rsidR="0066340A" w:rsidRPr="002A5934">
        <w:rPr>
          <w:color w:val="FF0000"/>
        </w:rPr>
        <w:t>xx</w:t>
      </w:r>
    </w:p>
    <w:p w14:paraId="1EBECE11" w14:textId="77777777" w:rsidR="003D073F" w:rsidRDefault="003D073F" w:rsidP="003D073F"/>
    <w:p w14:paraId="18F4240A" w14:textId="77777777" w:rsidR="003D073F" w:rsidRDefault="003D073F" w:rsidP="003D073F">
      <w:pPr>
        <w:pStyle w:val="Heading1"/>
        <w:keepNext/>
      </w:pPr>
      <w:r>
        <w:t>Section 4 - Contact Details and Background Papers</w:t>
      </w:r>
    </w:p>
    <w:p w14:paraId="69176082" w14:textId="77777777" w:rsidR="003D073F" w:rsidRDefault="003D073F" w:rsidP="003D073F">
      <w:pPr>
        <w:keepNext/>
        <w:rPr>
          <w:rFonts w:cs="Arial"/>
        </w:rPr>
      </w:pPr>
    </w:p>
    <w:p w14:paraId="5D51B3E2" w14:textId="50B21974" w:rsidR="003D073F" w:rsidRPr="002D0E5E" w:rsidRDefault="003D073F" w:rsidP="00656F61">
      <w:pPr>
        <w:tabs>
          <w:tab w:val="left" w:pos="1418"/>
          <w:tab w:val="left" w:pos="1560"/>
          <w:tab w:val="left" w:pos="7106"/>
          <w:tab w:val="left" w:pos="8976"/>
        </w:tabs>
        <w:ind w:right="257"/>
        <w:rPr>
          <w:rFonts w:cs="Arial"/>
        </w:rPr>
      </w:pPr>
      <w:r w:rsidRPr="002D0E5E">
        <w:rPr>
          <w:b/>
          <w:sz w:val="28"/>
        </w:rPr>
        <w:t xml:space="preserve">Contact:  </w:t>
      </w:r>
      <w:r w:rsidRPr="002D0E5E">
        <w:rPr>
          <w:rFonts w:cs="Arial"/>
        </w:rPr>
        <w:t>Fern Silverio (Head of Service – Collections &amp; Housing Benefits),</w:t>
      </w:r>
      <w:r w:rsidR="00656F61">
        <w:rPr>
          <w:rFonts w:cs="Arial"/>
        </w:rPr>
        <w:t xml:space="preserve"> </w:t>
      </w:r>
      <w:r w:rsidRPr="002D0E5E">
        <w:rPr>
          <w:rFonts w:cs="Arial"/>
        </w:rPr>
        <w:t xml:space="preserve">Tel: 020-8736-6818 / email: </w:t>
      </w:r>
      <w:hyperlink r:id="rId14" w:history="1">
        <w:r w:rsidRPr="002D0E5E">
          <w:rPr>
            <w:rFonts w:cs="Arial"/>
            <w:color w:val="0000FF"/>
            <w:u w:val="single"/>
          </w:rPr>
          <w:t>fern.silverio@harrow.gov.uk</w:t>
        </w:r>
      </w:hyperlink>
    </w:p>
    <w:p w14:paraId="226ED2A6" w14:textId="77777777" w:rsidR="003D073F" w:rsidRDefault="003D073F" w:rsidP="003D073F">
      <w:pPr>
        <w:pStyle w:val="Infotext"/>
        <w:rPr>
          <w:b/>
        </w:rPr>
      </w:pPr>
    </w:p>
    <w:p w14:paraId="1093F337" w14:textId="77777777" w:rsidR="003D073F" w:rsidRPr="002D0E5E" w:rsidRDefault="003D073F" w:rsidP="003D073F">
      <w:pPr>
        <w:rPr>
          <w:color w:val="FF0000"/>
          <w:sz w:val="28"/>
        </w:rPr>
      </w:pPr>
      <w:r w:rsidRPr="002D0E5E">
        <w:rPr>
          <w:b/>
          <w:sz w:val="28"/>
        </w:rPr>
        <w:t xml:space="preserve">Background Papers:  </w:t>
      </w:r>
    </w:p>
    <w:p w14:paraId="178CA3A3" w14:textId="4D3486F6" w:rsidR="003D073F" w:rsidRPr="00B679E6" w:rsidRDefault="00656F61" w:rsidP="003D073F">
      <w:pPr>
        <w:numPr>
          <w:ilvl w:val="0"/>
          <w:numId w:val="6"/>
        </w:numPr>
        <w:tabs>
          <w:tab w:val="left" w:pos="8976"/>
        </w:tabs>
        <w:ind w:right="257"/>
        <w:rPr>
          <w:rFonts w:cs="Arial"/>
          <w:szCs w:val="24"/>
        </w:rPr>
      </w:pPr>
      <w:hyperlink r:id="rId15" w:history="1">
        <w:r w:rsidR="00E00AC4" w:rsidRPr="00656F61">
          <w:rPr>
            <w:rStyle w:val="Hyperlink"/>
            <w:rFonts w:cs="Arial"/>
            <w:szCs w:val="24"/>
          </w:rPr>
          <w:t>COVID-19 Additional Relief Fund (CARF) Local Authority Guidance</w:t>
        </w:r>
      </w:hyperlink>
    </w:p>
    <w:p w14:paraId="354DE667" w14:textId="77777777" w:rsidR="003D073F" w:rsidRPr="007C0DC3" w:rsidRDefault="003D073F" w:rsidP="003D073F">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1F0546D2" w14:textId="3843442C" w:rsidR="003D073F" w:rsidRDefault="003D073F" w:rsidP="003D073F">
      <w:pPr>
        <w:pStyle w:val="Infotext"/>
        <w:spacing w:before="240"/>
      </w:pPr>
      <w:r w:rsidRPr="003D78F6">
        <w:rPr>
          <w:b/>
        </w:rPr>
        <w:t xml:space="preserve">NO </w:t>
      </w:r>
    </w:p>
    <w:p w14:paraId="287AB963" w14:textId="77777777" w:rsidR="003D073F" w:rsidRPr="002D0E5E" w:rsidRDefault="003D073F" w:rsidP="003D073F">
      <w:pPr>
        <w:tabs>
          <w:tab w:val="left" w:pos="8976"/>
        </w:tabs>
        <w:ind w:right="257"/>
        <w:rPr>
          <w:rFonts w:cs="Arial"/>
          <w:szCs w:val="24"/>
        </w:rPr>
      </w:pPr>
    </w:p>
    <w:p w14:paraId="0726CF4E" w14:textId="77777777" w:rsidR="003D073F" w:rsidRDefault="003D073F" w:rsidP="003D073F">
      <w:pPr>
        <w:pStyle w:val="Infotext"/>
        <w:rPr>
          <w:b/>
        </w:rPr>
      </w:pPr>
    </w:p>
    <w:p w14:paraId="1050E15A" w14:textId="77777777" w:rsidR="003D073F" w:rsidRPr="00DE71D3" w:rsidRDefault="003D073F" w:rsidP="003D073F"/>
    <w:p w14:paraId="3F840498" w14:textId="77777777" w:rsidR="00E521D9" w:rsidRPr="00E521D9" w:rsidRDefault="00E521D9" w:rsidP="00E521D9"/>
    <w:p w14:paraId="17FDDE97" w14:textId="44583AB7" w:rsidR="00046498" w:rsidRDefault="00046498" w:rsidP="001614E0">
      <w:pPr>
        <w:rPr>
          <w:noProof/>
          <w:lang w:eastAsia="en-GB"/>
        </w:rPr>
      </w:pPr>
    </w:p>
    <w:p w14:paraId="562EFEC5" w14:textId="0B8EF2BD" w:rsidR="00AD4F0D" w:rsidRDefault="00AD4F0D" w:rsidP="001614E0"/>
    <w:sectPr w:rsidR="00AD4F0D" w:rsidSect="001614E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0A3B6" w14:textId="77777777" w:rsidR="00793A11" w:rsidRDefault="00793A11">
      <w:r>
        <w:separator/>
      </w:r>
    </w:p>
  </w:endnote>
  <w:endnote w:type="continuationSeparator" w:id="0">
    <w:p w14:paraId="259EE8D2" w14:textId="77777777" w:rsidR="00793A11" w:rsidRDefault="0079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3358B" w14:textId="77777777" w:rsidR="00793A11" w:rsidRDefault="00793A11">
      <w:r>
        <w:separator/>
      </w:r>
    </w:p>
  </w:footnote>
  <w:footnote w:type="continuationSeparator" w:id="0">
    <w:p w14:paraId="649CD7CE" w14:textId="77777777" w:rsidR="00793A11" w:rsidRDefault="00793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349A"/>
    <w:multiLevelType w:val="hybridMultilevel"/>
    <w:tmpl w:val="05CA945C"/>
    <w:lvl w:ilvl="0" w:tplc="81F660A2">
      <w:start w:val="1"/>
      <w:numFmt w:val="lowerRoman"/>
      <w:lvlText w:val="%1."/>
      <w:lvlJc w:val="left"/>
      <w:pPr>
        <w:tabs>
          <w:tab w:val="num" w:pos="1080"/>
        </w:tabs>
        <w:ind w:left="1080" w:hanging="360"/>
      </w:pPr>
      <w:rPr>
        <w:rFonts w:cs="Times New Roman" w:hint="default"/>
      </w:rPr>
    </w:lvl>
    <w:lvl w:ilvl="1" w:tplc="CA48C81C">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8D33BB5"/>
    <w:multiLevelType w:val="hybridMultilevel"/>
    <w:tmpl w:val="0B60C13A"/>
    <w:lvl w:ilvl="0" w:tplc="C846B688">
      <w:start w:val="1"/>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2" w15:restartNumberingAfterBreak="0">
    <w:nsid w:val="169C0681"/>
    <w:multiLevelType w:val="multilevel"/>
    <w:tmpl w:val="4C3607E6"/>
    <w:lvl w:ilvl="0">
      <w:start w:val="1"/>
      <w:numFmt w:val="decimal"/>
      <w:lvlText w:val="%1."/>
      <w:lvlJc w:val="left"/>
      <w:pPr>
        <w:ind w:left="540" w:hanging="360"/>
      </w:pPr>
      <w:rPr>
        <w:rFonts w:hint="default"/>
        <w:spacing w:val="0"/>
        <w:w w:val="100"/>
        <w:lang w:val="en-GB" w:eastAsia="en-US" w:bidi="ar-SA"/>
      </w:rPr>
    </w:lvl>
    <w:lvl w:ilvl="1">
      <w:start w:val="1"/>
      <w:numFmt w:val="decimal"/>
      <w:lvlText w:val="%1.%2"/>
      <w:lvlJc w:val="left"/>
      <w:pPr>
        <w:ind w:left="716" w:hanging="536"/>
      </w:pPr>
      <w:rPr>
        <w:rFonts w:hint="default"/>
        <w:w w:val="99"/>
        <w:position w:val="-3"/>
        <w:lang w:val="en-GB" w:eastAsia="en-US" w:bidi="ar-SA"/>
      </w:rPr>
    </w:lvl>
    <w:lvl w:ilvl="2">
      <w:start w:val="1"/>
      <w:numFmt w:val="lowerLetter"/>
      <w:lvlText w:val="%3."/>
      <w:lvlJc w:val="left"/>
      <w:pPr>
        <w:ind w:left="1313" w:hanging="536"/>
      </w:pPr>
      <w:rPr>
        <w:rFonts w:ascii="Arial" w:eastAsia="Arial" w:hAnsi="Arial" w:cs="Arial" w:hint="default"/>
        <w:b w:val="0"/>
        <w:bCs w:val="0"/>
        <w:i w:val="0"/>
        <w:iCs w:val="0"/>
        <w:color w:val="0A0B0B"/>
        <w:w w:val="100"/>
        <w:sz w:val="24"/>
        <w:szCs w:val="24"/>
        <w:lang w:val="en-GB" w:eastAsia="en-US" w:bidi="ar-SA"/>
      </w:rPr>
    </w:lvl>
    <w:lvl w:ilvl="3">
      <w:numFmt w:val="bullet"/>
      <w:lvlText w:val="•"/>
      <w:lvlJc w:val="left"/>
      <w:pPr>
        <w:ind w:left="1320" w:hanging="536"/>
      </w:pPr>
      <w:rPr>
        <w:rFonts w:hint="default"/>
        <w:lang w:val="en-GB" w:eastAsia="en-US" w:bidi="ar-SA"/>
      </w:rPr>
    </w:lvl>
    <w:lvl w:ilvl="4">
      <w:numFmt w:val="bullet"/>
      <w:lvlText w:val="•"/>
      <w:lvlJc w:val="left"/>
      <w:pPr>
        <w:ind w:left="2560" w:hanging="536"/>
      </w:pPr>
      <w:rPr>
        <w:rFonts w:hint="default"/>
        <w:lang w:val="en-GB" w:eastAsia="en-US" w:bidi="ar-SA"/>
      </w:rPr>
    </w:lvl>
    <w:lvl w:ilvl="5">
      <w:numFmt w:val="bullet"/>
      <w:lvlText w:val="•"/>
      <w:lvlJc w:val="left"/>
      <w:pPr>
        <w:ind w:left="3801" w:hanging="536"/>
      </w:pPr>
      <w:rPr>
        <w:rFonts w:hint="default"/>
        <w:lang w:val="en-GB" w:eastAsia="en-US" w:bidi="ar-SA"/>
      </w:rPr>
    </w:lvl>
    <w:lvl w:ilvl="6">
      <w:numFmt w:val="bullet"/>
      <w:lvlText w:val="•"/>
      <w:lvlJc w:val="left"/>
      <w:pPr>
        <w:ind w:left="5042" w:hanging="536"/>
      </w:pPr>
      <w:rPr>
        <w:rFonts w:hint="default"/>
        <w:lang w:val="en-GB" w:eastAsia="en-US" w:bidi="ar-SA"/>
      </w:rPr>
    </w:lvl>
    <w:lvl w:ilvl="7">
      <w:numFmt w:val="bullet"/>
      <w:lvlText w:val="•"/>
      <w:lvlJc w:val="left"/>
      <w:pPr>
        <w:ind w:left="6283" w:hanging="536"/>
      </w:pPr>
      <w:rPr>
        <w:rFonts w:hint="default"/>
        <w:lang w:val="en-GB" w:eastAsia="en-US" w:bidi="ar-SA"/>
      </w:rPr>
    </w:lvl>
    <w:lvl w:ilvl="8">
      <w:numFmt w:val="bullet"/>
      <w:lvlText w:val="•"/>
      <w:lvlJc w:val="left"/>
      <w:pPr>
        <w:ind w:left="7524" w:hanging="536"/>
      </w:pPr>
      <w:rPr>
        <w:rFonts w:hint="default"/>
        <w:lang w:val="en-GB" w:eastAsia="en-US" w:bidi="ar-SA"/>
      </w:rPr>
    </w:lvl>
  </w:abstractNum>
  <w:abstractNum w:abstractNumId="3" w15:restartNumberingAfterBreak="0">
    <w:nsid w:val="18534D75"/>
    <w:multiLevelType w:val="hybridMultilevel"/>
    <w:tmpl w:val="EF2E66BA"/>
    <w:lvl w:ilvl="0" w:tplc="E2FA5492">
      <w:start w:val="3"/>
      <w:numFmt w:val="lowerLetter"/>
      <w:lvlText w:val="(%1)"/>
      <w:lvlJc w:val="left"/>
      <w:pPr>
        <w:tabs>
          <w:tab w:val="num" w:pos="720"/>
        </w:tabs>
        <w:ind w:left="720" w:hanging="390"/>
      </w:pPr>
      <w:rPr>
        <w:rFonts w:cs="Times New Roman" w:hint="default"/>
      </w:rPr>
    </w:lvl>
    <w:lvl w:ilvl="1" w:tplc="04090019" w:tentative="1">
      <w:start w:val="1"/>
      <w:numFmt w:val="lowerLetter"/>
      <w:lvlText w:val="%2."/>
      <w:lvlJc w:val="left"/>
      <w:pPr>
        <w:tabs>
          <w:tab w:val="num" w:pos="1410"/>
        </w:tabs>
        <w:ind w:left="1410" w:hanging="360"/>
      </w:pPr>
      <w:rPr>
        <w:rFonts w:cs="Times New Roman"/>
      </w:rPr>
    </w:lvl>
    <w:lvl w:ilvl="2" w:tplc="0409001B" w:tentative="1">
      <w:start w:val="1"/>
      <w:numFmt w:val="lowerRoman"/>
      <w:lvlText w:val="%3."/>
      <w:lvlJc w:val="right"/>
      <w:pPr>
        <w:tabs>
          <w:tab w:val="num" w:pos="2130"/>
        </w:tabs>
        <w:ind w:left="2130" w:hanging="180"/>
      </w:pPr>
      <w:rPr>
        <w:rFonts w:cs="Times New Roman"/>
      </w:rPr>
    </w:lvl>
    <w:lvl w:ilvl="3" w:tplc="0409000F" w:tentative="1">
      <w:start w:val="1"/>
      <w:numFmt w:val="decimal"/>
      <w:lvlText w:val="%4."/>
      <w:lvlJc w:val="left"/>
      <w:pPr>
        <w:tabs>
          <w:tab w:val="num" w:pos="2850"/>
        </w:tabs>
        <w:ind w:left="2850" w:hanging="360"/>
      </w:pPr>
      <w:rPr>
        <w:rFonts w:cs="Times New Roman"/>
      </w:rPr>
    </w:lvl>
    <w:lvl w:ilvl="4" w:tplc="04090019" w:tentative="1">
      <w:start w:val="1"/>
      <w:numFmt w:val="lowerLetter"/>
      <w:lvlText w:val="%5."/>
      <w:lvlJc w:val="left"/>
      <w:pPr>
        <w:tabs>
          <w:tab w:val="num" w:pos="3570"/>
        </w:tabs>
        <w:ind w:left="3570" w:hanging="360"/>
      </w:pPr>
      <w:rPr>
        <w:rFonts w:cs="Times New Roman"/>
      </w:rPr>
    </w:lvl>
    <w:lvl w:ilvl="5" w:tplc="0409001B" w:tentative="1">
      <w:start w:val="1"/>
      <w:numFmt w:val="lowerRoman"/>
      <w:lvlText w:val="%6."/>
      <w:lvlJc w:val="right"/>
      <w:pPr>
        <w:tabs>
          <w:tab w:val="num" w:pos="4290"/>
        </w:tabs>
        <w:ind w:left="4290" w:hanging="180"/>
      </w:pPr>
      <w:rPr>
        <w:rFonts w:cs="Times New Roman"/>
      </w:rPr>
    </w:lvl>
    <w:lvl w:ilvl="6" w:tplc="0409000F" w:tentative="1">
      <w:start w:val="1"/>
      <w:numFmt w:val="decimal"/>
      <w:lvlText w:val="%7."/>
      <w:lvlJc w:val="left"/>
      <w:pPr>
        <w:tabs>
          <w:tab w:val="num" w:pos="5010"/>
        </w:tabs>
        <w:ind w:left="5010" w:hanging="360"/>
      </w:pPr>
      <w:rPr>
        <w:rFonts w:cs="Times New Roman"/>
      </w:rPr>
    </w:lvl>
    <w:lvl w:ilvl="7" w:tplc="04090019" w:tentative="1">
      <w:start w:val="1"/>
      <w:numFmt w:val="lowerLetter"/>
      <w:lvlText w:val="%8."/>
      <w:lvlJc w:val="left"/>
      <w:pPr>
        <w:tabs>
          <w:tab w:val="num" w:pos="5730"/>
        </w:tabs>
        <w:ind w:left="5730" w:hanging="360"/>
      </w:pPr>
      <w:rPr>
        <w:rFonts w:cs="Times New Roman"/>
      </w:rPr>
    </w:lvl>
    <w:lvl w:ilvl="8" w:tplc="0409001B" w:tentative="1">
      <w:start w:val="1"/>
      <w:numFmt w:val="lowerRoman"/>
      <w:lvlText w:val="%9."/>
      <w:lvlJc w:val="right"/>
      <w:pPr>
        <w:tabs>
          <w:tab w:val="num" w:pos="6450"/>
        </w:tabs>
        <w:ind w:left="6450" w:hanging="180"/>
      </w:pPr>
      <w:rPr>
        <w:rFonts w:cs="Times New Roman"/>
      </w:rPr>
    </w:lvl>
  </w:abstractNum>
  <w:abstractNum w:abstractNumId="4" w15:restartNumberingAfterBreak="0">
    <w:nsid w:val="1D075393"/>
    <w:multiLevelType w:val="multilevel"/>
    <w:tmpl w:val="E2E0670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FEA08FA"/>
    <w:multiLevelType w:val="multilevel"/>
    <w:tmpl w:val="046281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6A741C"/>
    <w:multiLevelType w:val="multilevel"/>
    <w:tmpl w:val="9CAAA0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562390C"/>
    <w:multiLevelType w:val="hybridMultilevel"/>
    <w:tmpl w:val="F48E7F38"/>
    <w:lvl w:ilvl="0" w:tplc="F5902A24">
      <w:start w:val="1"/>
      <w:numFmt w:val="bullet"/>
      <w:lvlText w:val=""/>
      <w:lvlJc w:val="left"/>
      <w:pPr>
        <w:tabs>
          <w:tab w:val="num" w:pos="786"/>
        </w:tabs>
        <w:ind w:left="78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794CEC"/>
    <w:multiLevelType w:val="hybridMultilevel"/>
    <w:tmpl w:val="A38A713A"/>
    <w:lvl w:ilvl="0" w:tplc="04090001">
      <w:start w:val="1"/>
      <w:numFmt w:val="bullet"/>
      <w:lvlText w:val=""/>
      <w:lvlJc w:val="left"/>
      <w:pPr>
        <w:tabs>
          <w:tab w:val="num" w:pos="1080"/>
        </w:tabs>
        <w:ind w:left="1080" w:hanging="360"/>
      </w:pPr>
      <w:rPr>
        <w:rFonts w:ascii="Symbol" w:hAnsi="Symbol" w:hint="default"/>
      </w:rPr>
    </w:lvl>
    <w:lvl w:ilvl="1" w:tplc="B7C0D3F4">
      <w:start w:val="1"/>
      <w:numFmt w:val="decimal"/>
      <w:lvlText w:val="%2."/>
      <w:lvlJc w:val="left"/>
      <w:pPr>
        <w:tabs>
          <w:tab w:val="num" w:pos="1800"/>
        </w:tabs>
        <w:ind w:left="1800" w:hanging="360"/>
      </w:pPr>
      <w:rPr>
        <w:rFonts w:cs="Times New Roman"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D971627"/>
    <w:multiLevelType w:val="hybridMultilevel"/>
    <w:tmpl w:val="A78C29AC"/>
    <w:lvl w:ilvl="0" w:tplc="B33EDBEC">
      <w:start w:val="3"/>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0" w15:restartNumberingAfterBreak="0">
    <w:nsid w:val="3FC538A9"/>
    <w:multiLevelType w:val="hybridMultilevel"/>
    <w:tmpl w:val="1222FE08"/>
    <w:lvl w:ilvl="0" w:tplc="422E4DDA">
      <w:start w:val="1"/>
      <w:numFmt w:val="lowerLetter"/>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4DA6DC0"/>
    <w:multiLevelType w:val="multilevel"/>
    <w:tmpl w:val="6DB89EE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AD56E8"/>
    <w:multiLevelType w:val="multilevel"/>
    <w:tmpl w:val="8BDE7044"/>
    <w:lvl w:ilvl="0">
      <w:start w:val="4"/>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72877046"/>
    <w:multiLevelType w:val="hybridMultilevel"/>
    <w:tmpl w:val="46942B8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B5D6C23"/>
    <w:multiLevelType w:val="hybridMultilevel"/>
    <w:tmpl w:val="073A8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A90190"/>
    <w:multiLevelType w:val="hybridMultilevel"/>
    <w:tmpl w:val="D5581512"/>
    <w:lvl w:ilvl="0" w:tplc="81F660A2">
      <w:start w:val="1"/>
      <w:numFmt w:val="lowerRoman"/>
      <w:lvlText w:val="%1."/>
      <w:lvlJc w:val="left"/>
      <w:pPr>
        <w:tabs>
          <w:tab w:val="num" w:pos="1080"/>
        </w:tabs>
        <w:ind w:left="1080" w:hanging="360"/>
      </w:pPr>
      <w:rPr>
        <w:rFonts w:cs="Times New Roman" w:hint="default"/>
      </w:rPr>
    </w:lvl>
    <w:lvl w:ilvl="1" w:tplc="CA48C81C">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7ECD5E75"/>
    <w:multiLevelType w:val="hybridMultilevel"/>
    <w:tmpl w:val="18EEE908"/>
    <w:lvl w:ilvl="0" w:tplc="8022F576">
      <w:start w:val="1"/>
      <w:numFmt w:val="decimal"/>
      <w:lvlText w:val="%1."/>
      <w:lvlJc w:val="left"/>
      <w:pPr>
        <w:tabs>
          <w:tab w:val="num" w:pos="360"/>
        </w:tabs>
        <w:ind w:left="360" w:hanging="360"/>
      </w:pPr>
      <w:rPr>
        <w:rFonts w:cs="Times New Roman"/>
        <w:color w:val="auto"/>
      </w:rPr>
    </w:lvl>
    <w:lvl w:ilvl="1" w:tplc="08090019">
      <w:start w:val="1"/>
      <w:numFmt w:val="lowerLetter"/>
      <w:lvlText w:val="%2."/>
      <w:lvlJc w:val="left"/>
      <w:pPr>
        <w:tabs>
          <w:tab w:val="num" w:pos="1814"/>
        </w:tabs>
        <w:ind w:left="1814" w:hanging="360"/>
      </w:pPr>
      <w:rPr>
        <w:rFonts w:cs="Times New Roman"/>
      </w:rPr>
    </w:lvl>
    <w:lvl w:ilvl="2" w:tplc="0809001B" w:tentative="1">
      <w:start w:val="1"/>
      <w:numFmt w:val="lowerRoman"/>
      <w:lvlText w:val="%3."/>
      <w:lvlJc w:val="right"/>
      <w:pPr>
        <w:tabs>
          <w:tab w:val="num" w:pos="2534"/>
        </w:tabs>
        <w:ind w:left="2534" w:hanging="180"/>
      </w:pPr>
      <w:rPr>
        <w:rFonts w:cs="Times New Roman"/>
      </w:rPr>
    </w:lvl>
    <w:lvl w:ilvl="3" w:tplc="0809000F" w:tentative="1">
      <w:start w:val="1"/>
      <w:numFmt w:val="decimal"/>
      <w:lvlText w:val="%4."/>
      <w:lvlJc w:val="left"/>
      <w:pPr>
        <w:tabs>
          <w:tab w:val="num" w:pos="3254"/>
        </w:tabs>
        <w:ind w:left="3254" w:hanging="360"/>
      </w:pPr>
      <w:rPr>
        <w:rFonts w:cs="Times New Roman"/>
      </w:rPr>
    </w:lvl>
    <w:lvl w:ilvl="4" w:tplc="08090019" w:tentative="1">
      <w:start w:val="1"/>
      <w:numFmt w:val="lowerLetter"/>
      <w:lvlText w:val="%5."/>
      <w:lvlJc w:val="left"/>
      <w:pPr>
        <w:tabs>
          <w:tab w:val="num" w:pos="3974"/>
        </w:tabs>
        <w:ind w:left="3974" w:hanging="360"/>
      </w:pPr>
      <w:rPr>
        <w:rFonts w:cs="Times New Roman"/>
      </w:rPr>
    </w:lvl>
    <w:lvl w:ilvl="5" w:tplc="0809001B" w:tentative="1">
      <w:start w:val="1"/>
      <w:numFmt w:val="lowerRoman"/>
      <w:lvlText w:val="%6."/>
      <w:lvlJc w:val="right"/>
      <w:pPr>
        <w:tabs>
          <w:tab w:val="num" w:pos="4694"/>
        </w:tabs>
        <w:ind w:left="4694" w:hanging="180"/>
      </w:pPr>
      <w:rPr>
        <w:rFonts w:cs="Times New Roman"/>
      </w:rPr>
    </w:lvl>
    <w:lvl w:ilvl="6" w:tplc="0809000F" w:tentative="1">
      <w:start w:val="1"/>
      <w:numFmt w:val="decimal"/>
      <w:lvlText w:val="%7."/>
      <w:lvlJc w:val="left"/>
      <w:pPr>
        <w:tabs>
          <w:tab w:val="num" w:pos="5414"/>
        </w:tabs>
        <w:ind w:left="5414" w:hanging="360"/>
      </w:pPr>
      <w:rPr>
        <w:rFonts w:cs="Times New Roman"/>
      </w:rPr>
    </w:lvl>
    <w:lvl w:ilvl="7" w:tplc="08090019" w:tentative="1">
      <w:start w:val="1"/>
      <w:numFmt w:val="lowerLetter"/>
      <w:lvlText w:val="%8."/>
      <w:lvlJc w:val="left"/>
      <w:pPr>
        <w:tabs>
          <w:tab w:val="num" w:pos="6134"/>
        </w:tabs>
        <w:ind w:left="6134" w:hanging="360"/>
      </w:pPr>
      <w:rPr>
        <w:rFonts w:cs="Times New Roman"/>
      </w:rPr>
    </w:lvl>
    <w:lvl w:ilvl="8" w:tplc="0809001B" w:tentative="1">
      <w:start w:val="1"/>
      <w:numFmt w:val="lowerRoman"/>
      <w:lvlText w:val="%9."/>
      <w:lvlJc w:val="right"/>
      <w:pPr>
        <w:tabs>
          <w:tab w:val="num" w:pos="6854"/>
        </w:tabs>
        <w:ind w:left="6854" w:hanging="180"/>
      </w:pPr>
      <w:rPr>
        <w:rFonts w:cs="Times New Roman"/>
      </w:rPr>
    </w:lvl>
  </w:abstractNum>
  <w:num w:numId="1">
    <w:abstractNumId w:val="10"/>
  </w:num>
  <w:num w:numId="2">
    <w:abstractNumId w:val="13"/>
  </w:num>
  <w:num w:numId="3">
    <w:abstractNumId w:val="12"/>
  </w:num>
  <w:num w:numId="4">
    <w:abstractNumId w:val="8"/>
  </w:num>
  <w:num w:numId="5">
    <w:abstractNumId w:val="16"/>
  </w:num>
  <w:num w:numId="6">
    <w:abstractNumId w:val="7"/>
  </w:num>
  <w:num w:numId="7">
    <w:abstractNumId w:val="3"/>
  </w:num>
  <w:num w:numId="8">
    <w:abstractNumId w:val="4"/>
  </w:num>
  <w:num w:numId="9">
    <w:abstractNumId w:val="1"/>
  </w:num>
  <w:num w:numId="10">
    <w:abstractNumId w:val="5"/>
  </w:num>
  <w:num w:numId="11">
    <w:abstractNumId w:val="14"/>
  </w:num>
  <w:num w:numId="12">
    <w:abstractNumId w:val="6"/>
  </w:num>
  <w:num w:numId="13">
    <w:abstractNumId w:val="9"/>
  </w:num>
  <w:num w:numId="14">
    <w:abstractNumId w:val="0"/>
  </w:num>
  <w:num w:numId="15">
    <w:abstractNumId w:val="15"/>
  </w:num>
  <w:num w:numId="16">
    <w:abstractNumId w:val="11"/>
  </w:num>
  <w:num w:numId="1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1948"/>
    <w:rsid w:val="000035B3"/>
    <w:rsid w:val="00003994"/>
    <w:rsid w:val="00011380"/>
    <w:rsid w:val="00021261"/>
    <w:rsid w:val="00024DED"/>
    <w:rsid w:val="0002657B"/>
    <w:rsid w:val="00027130"/>
    <w:rsid w:val="000300FB"/>
    <w:rsid w:val="00033A57"/>
    <w:rsid w:val="00033EB0"/>
    <w:rsid w:val="0004029A"/>
    <w:rsid w:val="000405EA"/>
    <w:rsid w:val="00043D09"/>
    <w:rsid w:val="00046498"/>
    <w:rsid w:val="000502F2"/>
    <w:rsid w:val="000507F7"/>
    <w:rsid w:val="000512A1"/>
    <w:rsid w:val="00054A5D"/>
    <w:rsid w:val="0006034E"/>
    <w:rsid w:val="0006037D"/>
    <w:rsid w:val="00063783"/>
    <w:rsid w:val="000709EE"/>
    <w:rsid w:val="00072112"/>
    <w:rsid w:val="00073765"/>
    <w:rsid w:val="00077D71"/>
    <w:rsid w:val="00082691"/>
    <w:rsid w:val="00082C7C"/>
    <w:rsid w:val="00087F5F"/>
    <w:rsid w:val="00090C23"/>
    <w:rsid w:val="000929A6"/>
    <w:rsid w:val="00096EA1"/>
    <w:rsid w:val="000A7397"/>
    <w:rsid w:val="000B074C"/>
    <w:rsid w:val="000B5015"/>
    <w:rsid w:val="000B788F"/>
    <w:rsid w:val="000B7EC4"/>
    <w:rsid w:val="000C1F05"/>
    <w:rsid w:val="000C2E54"/>
    <w:rsid w:val="000C62D3"/>
    <w:rsid w:val="000C7045"/>
    <w:rsid w:val="000D4078"/>
    <w:rsid w:val="000D4E36"/>
    <w:rsid w:val="000E0C8D"/>
    <w:rsid w:val="000E62FE"/>
    <w:rsid w:val="000E6689"/>
    <w:rsid w:val="000F1F93"/>
    <w:rsid w:val="000F3B34"/>
    <w:rsid w:val="000F68A5"/>
    <w:rsid w:val="000F7FE8"/>
    <w:rsid w:val="00100B79"/>
    <w:rsid w:val="0010445C"/>
    <w:rsid w:val="00112C04"/>
    <w:rsid w:val="0011369F"/>
    <w:rsid w:val="001161E4"/>
    <w:rsid w:val="00116215"/>
    <w:rsid w:val="001178FA"/>
    <w:rsid w:val="00124688"/>
    <w:rsid w:val="00124B6D"/>
    <w:rsid w:val="00125A26"/>
    <w:rsid w:val="00130B37"/>
    <w:rsid w:val="001342A9"/>
    <w:rsid w:val="0013525E"/>
    <w:rsid w:val="001452B6"/>
    <w:rsid w:val="001505C9"/>
    <w:rsid w:val="0015376F"/>
    <w:rsid w:val="001560C4"/>
    <w:rsid w:val="00157387"/>
    <w:rsid w:val="001614E0"/>
    <w:rsid w:val="001651D0"/>
    <w:rsid w:val="00170B1D"/>
    <w:rsid w:val="00171BD8"/>
    <w:rsid w:val="0017653E"/>
    <w:rsid w:val="00182B01"/>
    <w:rsid w:val="00182B22"/>
    <w:rsid w:val="00183555"/>
    <w:rsid w:val="001840D2"/>
    <w:rsid w:val="0019175A"/>
    <w:rsid w:val="001966D7"/>
    <w:rsid w:val="00196919"/>
    <w:rsid w:val="001A62AE"/>
    <w:rsid w:val="001B672C"/>
    <w:rsid w:val="001B67F3"/>
    <w:rsid w:val="001C1839"/>
    <w:rsid w:val="001C4084"/>
    <w:rsid w:val="001C4D2E"/>
    <w:rsid w:val="001C5277"/>
    <w:rsid w:val="001C5CC4"/>
    <w:rsid w:val="001C7E35"/>
    <w:rsid w:val="001D3B85"/>
    <w:rsid w:val="001D47AA"/>
    <w:rsid w:val="001E1C9E"/>
    <w:rsid w:val="001E3C06"/>
    <w:rsid w:val="001E6093"/>
    <w:rsid w:val="001F0037"/>
    <w:rsid w:val="001F0832"/>
    <w:rsid w:val="001F0BE9"/>
    <w:rsid w:val="001F312A"/>
    <w:rsid w:val="001F54D7"/>
    <w:rsid w:val="001F5AD4"/>
    <w:rsid w:val="001F69E1"/>
    <w:rsid w:val="001F6DF9"/>
    <w:rsid w:val="002028AC"/>
    <w:rsid w:val="00202D79"/>
    <w:rsid w:val="00205D2F"/>
    <w:rsid w:val="00210CD5"/>
    <w:rsid w:val="00212039"/>
    <w:rsid w:val="002134F3"/>
    <w:rsid w:val="00215E8F"/>
    <w:rsid w:val="00220516"/>
    <w:rsid w:val="0022769D"/>
    <w:rsid w:val="00230D6B"/>
    <w:rsid w:val="002322BB"/>
    <w:rsid w:val="00233377"/>
    <w:rsid w:val="00234C88"/>
    <w:rsid w:val="00240D73"/>
    <w:rsid w:val="00241F38"/>
    <w:rsid w:val="0024385F"/>
    <w:rsid w:val="002442DD"/>
    <w:rsid w:val="00251254"/>
    <w:rsid w:val="0025202E"/>
    <w:rsid w:val="002546B6"/>
    <w:rsid w:val="002548D1"/>
    <w:rsid w:val="00262D0C"/>
    <w:rsid w:val="002707A8"/>
    <w:rsid w:val="0027283B"/>
    <w:rsid w:val="00276A6B"/>
    <w:rsid w:val="002771E0"/>
    <w:rsid w:val="002776B0"/>
    <w:rsid w:val="0028019B"/>
    <w:rsid w:val="00281BEC"/>
    <w:rsid w:val="00283CAB"/>
    <w:rsid w:val="0029445E"/>
    <w:rsid w:val="00297DC9"/>
    <w:rsid w:val="002A3FEF"/>
    <w:rsid w:val="002A5934"/>
    <w:rsid w:val="002A6A80"/>
    <w:rsid w:val="002B4976"/>
    <w:rsid w:val="002B4DD9"/>
    <w:rsid w:val="002B54A6"/>
    <w:rsid w:val="002C49FF"/>
    <w:rsid w:val="002C4B3A"/>
    <w:rsid w:val="002D0E5E"/>
    <w:rsid w:val="002D5B68"/>
    <w:rsid w:val="002D5BA7"/>
    <w:rsid w:val="002D67DA"/>
    <w:rsid w:val="002F3EE9"/>
    <w:rsid w:val="002F504D"/>
    <w:rsid w:val="00302589"/>
    <w:rsid w:val="00302748"/>
    <w:rsid w:val="00303ABA"/>
    <w:rsid w:val="00307F76"/>
    <w:rsid w:val="00316811"/>
    <w:rsid w:val="00320075"/>
    <w:rsid w:val="00320D28"/>
    <w:rsid w:val="0032147C"/>
    <w:rsid w:val="00321FBB"/>
    <w:rsid w:val="003230CE"/>
    <w:rsid w:val="003232A8"/>
    <w:rsid w:val="00323578"/>
    <w:rsid w:val="003236AE"/>
    <w:rsid w:val="00324ADC"/>
    <w:rsid w:val="00333FAA"/>
    <w:rsid w:val="003343CE"/>
    <w:rsid w:val="003355D7"/>
    <w:rsid w:val="003408D5"/>
    <w:rsid w:val="00344634"/>
    <w:rsid w:val="00346E2F"/>
    <w:rsid w:val="003470CF"/>
    <w:rsid w:val="00355577"/>
    <w:rsid w:val="003555B5"/>
    <w:rsid w:val="00356C35"/>
    <w:rsid w:val="0036201C"/>
    <w:rsid w:val="00363709"/>
    <w:rsid w:val="00364487"/>
    <w:rsid w:val="00364864"/>
    <w:rsid w:val="00373416"/>
    <w:rsid w:val="00376768"/>
    <w:rsid w:val="00395BBB"/>
    <w:rsid w:val="00395F8C"/>
    <w:rsid w:val="00396307"/>
    <w:rsid w:val="00396380"/>
    <w:rsid w:val="003A5CAA"/>
    <w:rsid w:val="003B04D5"/>
    <w:rsid w:val="003B3421"/>
    <w:rsid w:val="003C2510"/>
    <w:rsid w:val="003D073F"/>
    <w:rsid w:val="003D25FD"/>
    <w:rsid w:val="003D62BA"/>
    <w:rsid w:val="003E5D64"/>
    <w:rsid w:val="003E7449"/>
    <w:rsid w:val="003F0E4E"/>
    <w:rsid w:val="003F3AFD"/>
    <w:rsid w:val="003F7C34"/>
    <w:rsid w:val="0040218D"/>
    <w:rsid w:val="004076C8"/>
    <w:rsid w:val="004139CE"/>
    <w:rsid w:val="00414374"/>
    <w:rsid w:val="004155B4"/>
    <w:rsid w:val="00416687"/>
    <w:rsid w:val="00417EBD"/>
    <w:rsid w:val="004207E3"/>
    <w:rsid w:val="00421372"/>
    <w:rsid w:val="00421A4C"/>
    <w:rsid w:val="00423117"/>
    <w:rsid w:val="004238C2"/>
    <w:rsid w:val="00431E98"/>
    <w:rsid w:val="00435B5D"/>
    <w:rsid w:val="004363F7"/>
    <w:rsid w:val="004416F9"/>
    <w:rsid w:val="00441BA1"/>
    <w:rsid w:val="0044525C"/>
    <w:rsid w:val="00445C31"/>
    <w:rsid w:val="004553F1"/>
    <w:rsid w:val="00455E9C"/>
    <w:rsid w:val="0045742D"/>
    <w:rsid w:val="0046206D"/>
    <w:rsid w:val="0046404D"/>
    <w:rsid w:val="004713EF"/>
    <w:rsid w:val="00471C1F"/>
    <w:rsid w:val="004739C9"/>
    <w:rsid w:val="004804E6"/>
    <w:rsid w:val="004809FA"/>
    <w:rsid w:val="00486CB3"/>
    <w:rsid w:val="00487CB4"/>
    <w:rsid w:val="004917E3"/>
    <w:rsid w:val="0049271A"/>
    <w:rsid w:val="00492F90"/>
    <w:rsid w:val="004A5665"/>
    <w:rsid w:val="004A64AC"/>
    <w:rsid w:val="004B20FD"/>
    <w:rsid w:val="004C1A4E"/>
    <w:rsid w:val="004C38E1"/>
    <w:rsid w:val="004C434B"/>
    <w:rsid w:val="004C4A75"/>
    <w:rsid w:val="004D2DA0"/>
    <w:rsid w:val="004D39C1"/>
    <w:rsid w:val="004E14A4"/>
    <w:rsid w:val="004E3182"/>
    <w:rsid w:val="004E4D51"/>
    <w:rsid w:val="004F2FD0"/>
    <w:rsid w:val="004F54BD"/>
    <w:rsid w:val="004F56C5"/>
    <w:rsid w:val="004F7DE3"/>
    <w:rsid w:val="0050231F"/>
    <w:rsid w:val="00502E26"/>
    <w:rsid w:val="00513D35"/>
    <w:rsid w:val="00515093"/>
    <w:rsid w:val="00520371"/>
    <w:rsid w:val="0052258F"/>
    <w:rsid w:val="00522BA9"/>
    <w:rsid w:val="00523046"/>
    <w:rsid w:val="00531BFC"/>
    <w:rsid w:val="00534D49"/>
    <w:rsid w:val="005354D0"/>
    <w:rsid w:val="0053578C"/>
    <w:rsid w:val="00536ED9"/>
    <w:rsid w:val="0054172C"/>
    <w:rsid w:val="0054590F"/>
    <w:rsid w:val="005459EC"/>
    <w:rsid w:val="005500E9"/>
    <w:rsid w:val="00557BAD"/>
    <w:rsid w:val="005603F8"/>
    <w:rsid w:val="00560590"/>
    <w:rsid w:val="00561722"/>
    <w:rsid w:val="005668ED"/>
    <w:rsid w:val="005677CD"/>
    <w:rsid w:val="0057024D"/>
    <w:rsid w:val="005718B5"/>
    <w:rsid w:val="00572F58"/>
    <w:rsid w:val="005770A2"/>
    <w:rsid w:val="005808FB"/>
    <w:rsid w:val="00582605"/>
    <w:rsid w:val="00582E9D"/>
    <w:rsid w:val="00591016"/>
    <w:rsid w:val="00592356"/>
    <w:rsid w:val="00594A15"/>
    <w:rsid w:val="005A3437"/>
    <w:rsid w:val="005B12B7"/>
    <w:rsid w:val="005B2D83"/>
    <w:rsid w:val="005B3F67"/>
    <w:rsid w:val="005B4E2F"/>
    <w:rsid w:val="005C0213"/>
    <w:rsid w:val="005C5AAC"/>
    <w:rsid w:val="005C5B53"/>
    <w:rsid w:val="005C72EA"/>
    <w:rsid w:val="005C771F"/>
    <w:rsid w:val="005D548F"/>
    <w:rsid w:val="005D5865"/>
    <w:rsid w:val="005D6EF5"/>
    <w:rsid w:val="005E3A10"/>
    <w:rsid w:val="005E4395"/>
    <w:rsid w:val="005E7509"/>
    <w:rsid w:val="005F2171"/>
    <w:rsid w:val="005F4153"/>
    <w:rsid w:val="005F591D"/>
    <w:rsid w:val="005F6EEF"/>
    <w:rsid w:val="00614817"/>
    <w:rsid w:val="00620A59"/>
    <w:rsid w:val="00625BD8"/>
    <w:rsid w:val="00630908"/>
    <w:rsid w:val="00636E9B"/>
    <w:rsid w:val="00642AD2"/>
    <w:rsid w:val="00643E10"/>
    <w:rsid w:val="00645AC9"/>
    <w:rsid w:val="00645B8B"/>
    <w:rsid w:val="00646629"/>
    <w:rsid w:val="00646849"/>
    <w:rsid w:val="00655044"/>
    <w:rsid w:val="00656F61"/>
    <w:rsid w:val="00660EB0"/>
    <w:rsid w:val="0066340A"/>
    <w:rsid w:val="00664D63"/>
    <w:rsid w:val="00666922"/>
    <w:rsid w:val="00666EBC"/>
    <w:rsid w:val="00670F17"/>
    <w:rsid w:val="006710C7"/>
    <w:rsid w:val="0067177A"/>
    <w:rsid w:val="00671BDE"/>
    <w:rsid w:val="00672186"/>
    <w:rsid w:val="0067565B"/>
    <w:rsid w:val="006760C4"/>
    <w:rsid w:val="00683B2F"/>
    <w:rsid w:val="00691501"/>
    <w:rsid w:val="00695545"/>
    <w:rsid w:val="00696A83"/>
    <w:rsid w:val="006A6E6E"/>
    <w:rsid w:val="006A73B6"/>
    <w:rsid w:val="006B1F59"/>
    <w:rsid w:val="006B3702"/>
    <w:rsid w:val="006B7D6C"/>
    <w:rsid w:val="006C0514"/>
    <w:rsid w:val="006C0FC1"/>
    <w:rsid w:val="006C4775"/>
    <w:rsid w:val="006C580A"/>
    <w:rsid w:val="006D1E69"/>
    <w:rsid w:val="006D209C"/>
    <w:rsid w:val="006D5455"/>
    <w:rsid w:val="006D66BF"/>
    <w:rsid w:val="006F057C"/>
    <w:rsid w:val="006F09A8"/>
    <w:rsid w:val="006F22DA"/>
    <w:rsid w:val="006F2EB3"/>
    <w:rsid w:val="006F2FA6"/>
    <w:rsid w:val="006F3589"/>
    <w:rsid w:val="006F3EFF"/>
    <w:rsid w:val="006F5639"/>
    <w:rsid w:val="006F59D7"/>
    <w:rsid w:val="006F7257"/>
    <w:rsid w:val="0070309C"/>
    <w:rsid w:val="00703493"/>
    <w:rsid w:val="007116B1"/>
    <w:rsid w:val="0071291D"/>
    <w:rsid w:val="00714BEE"/>
    <w:rsid w:val="00720270"/>
    <w:rsid w:val="00721215"/>
    <w:rsid w:val="00723DC6"/>
    <w:rsid w:val="00727F87"/>
    <w:rsid w:val="00734834"/>
    <w:rsid w:val="00735210"/>
    <w:rsid w:val="007400CF"/>
    <w:rsid w:val="00740928"/>
    <w:rsid w:val="00740A0C"/>
    <w:rsid w:val="00742271"/>
    <w:rsid w:val="00744717"/>
    <w:rsid w:val="00745847"/>
    <w:rsid w:val="00747193"/>
    <w:rsid w:val="00751675"/>
    <w:rsid w:val="007534EC"/>
    <w:rsid w:val="007544CB"/>
    <w:rsid w:val="00756885"/>
    <w:rsid w:val="007622B2"/>
    <w:rsid w:val="007643A7"/>
    <w:rsid w:val="007657EC"/>
    <w:rsid w:val="007712DC"/>
    <w:rsid w:val="00771E62"/>
    <w:rsid w:val="00776AF0"/>
    <w:rsid w:val="0079078A"/>
    <w:rsid w:val="00793A11"/>
    <w:rsid w:val="007A1A90"/>
    <w:rsid w:val="007A3ADA"/>
    <w:rsid w:val="007A6F68"/>
    <w:rsid w:val="007A7CC4"/>
    <w:rsid w:val="007B223C"/>
    <w:rsid w:val="007B23FC"/>
    <w:rsid w:val="007B4AC9"/>
    <w:rsid w:val="007B636E"/>
    <w:rsid w:val="007C35E2"/>
    <w:rsid w:val="007C4FB5"/>
    <w:rsid w:val="007D0785"/>
    <w:rsid w:val="007D0C1D"/>
    <w:rsid w:val="007D2000"/>
    <w:rsid w:val="007D34B9"/>
    <w:rsid w:val="007D4DBF"/>
    <w:rsid w:val="007D7065"/>
    <w:rsid w:val="007E34BB"/>
    <w:rsid w:val="007E4732"/>
    <w:rsid w:val="007E4BA4"/>
    <w:rsid w:val="007F004E"/>
    <w:rsid w:val="007F0398"/>
    <w:rsid w:val="007F0C82"/>
    <w:rsid w:val="007F335A"/>
    <w:rsid w:val="00802549"/>
    <w:rsid w:val="0080256A"/>
    <w:rsid w:val="00802670"/>
    <w:rsid w:val="00803104"/>
    <w:rsid w:val="00810F7F"/>
    <w:rsid w:val="00812901"/>
    <w:rsid w:val="00817C00"/>
    <w:rsid w:val="00821825"/>
    <w:rsid w:val="00825A84"/>
    <w:rsid w:val="00825C28"/>
    <w:rsid w:val="00826B9A"/>
    <w:rsid w:val="00830337"/>
    <w:rsid w:val="008462D6"/>
    <w:rsid w:val="0085266D"/>
    <w:rsid w:val="008558A0"/>
    <w:rsid w:val="00863857"/>
    <w:rsid w:val="00864FD3"/>
    <w:rsid w:val="0086649A"/>
    <w:rsid w:val="00867BE3"/>
    <w:rsid w:val="0087147B"/>
    <w:rsid w:val="00883163"/>
    <w:rsid w:val="00883251"/>
    <w:rsid w:val="008837A0"/>
    <w:rsid w:val="00884260"/>
    <w:rsid w:val="00887BA8"/>
    <w:rsid w:val="00897750"/>
    <w:rsid w:val="008A17BC"/>
    <w:rsid w:val="008A4756"/>
    <w:rsid w:val="008A5AA0"/>
    <w:rsid w:val="008C0211"/>
    <w:rsid w:val="008C05DD"/>
    <w:rsid w:val="008C1967"/>
    <w:rsid w:val="008C223D"/>
    <w:rsid w:val="008C3F63"/>
    <w:rsid w:val="008D2A50"/>
    <w:rsid w:val="008D6B85"/>
    <w:rsid w:val="008E224D"/>
    <w:rsid w:val="008E5D42"/>
    <w:rsid w:val="008E70EA"/>
    <w:rsid w:val="008F566D"/>
    <w:rsid w:val="008F764E"/>
    <w:rsid w:val="00914496"/>
    <w:rsid w:val="00921921"/>
    <w:rsid w:val="00922755"/>
    <w:rsid w:val="00922F31"/>
    <w:rsid w:val="0092530B"/>
    <w:rsid w:val="00932294"/>
    <w:rsid w:val="00934F3E"/>
    <w:rsid w:val="009416FD"/>
    <w:rsid w:val="0094208C"/>
    <w:rsid w:val="00942F17"/>
    <w:rsid w:val="009506D4"/>
    <w:rsid w:val="009529E3"/>
    <w:rsid w:val="00952CEF"/>
    <w:rsid w:val="00955421"/>
    <w:rsid w:val="00956F93"/>
    <w:rsid w:val="00960AAB"/>
    <w:rsid w:val="00961345"/>
    <w:rsid w:val="0097348B"/>
    <w:rsid w:val="00990E9C"/>
    <w:rsid w:val="00994542"/>
    <w:rsid w:val="00994908"/>
    <w:rsid w:val="009A1DE8"/>
    <w:rsid w:val="009B0DD0"/>
    <w:rsid w:val="009B160B"/>
    <w:rsid w:val="009B23A2"/>
    <w:rsid w:val="009B266D"/>
    <w:rsid w:val="009B3557"/>
    <w:rsid w:val="009C237B"/>
    <w:rsid w:val="009E1DA8"/>
    <w:rsid w:val="009E5A93"/>
    <w:rsid w:val="009F267B"/>
    <w:rsid w:val="009F4358"/>
    <w:rsid w:val="009F72B7"/>
    <w:rsid w:val="009F7D3C"/>
    <w:rsid w:val="00A063BD"/>
    <w:rsid w:val="00A12B54"/>
    <w:rsid w:val="00A15375"/>
    <w:rsid w:val="00A16F04"/>
    <w:rsid w:val="00A174D9"/>
    <w:rsid w:val="00A20113"/>
    <w:rsid w:val="00A20D78"/>
    <w:rsid w:val="00A2215F"/>
    <w:rsid w:val="00A22839"/>
    <w:rsid w:val="00A23E19"/>
    <w:rsid w:val="00A249ED"/>
    <w:rsid w:val="00A274D3"/>
    <w:rsid w:val="00A33185"/>
    <w:rsid w:val="00A34075"/>
    <w:rsid w:val="00A34B3D"/>
    <w:rsid w:val="00A358FF"/>
    <w:rsid w:val="00A41153"/>
    <w:rsid w:val="00A4391A"/>
    <w:rsid w:val="00A51B4A"/>
    <w:rsid w:val="00A5208F"/>
    <w:rsid w:val="00A53B04"/>
    <w:rsid w:val="00A54187"/>
    <w:rsid w:val="00A5658A"/>
    <w:rsid w:val="00A612DD"/>
    <w:rsid w:val="00A661F4"/>
    <w:rsid w:val="00A71EC9"/>
    <w:rsid w:val="00A7271A"/>
    <w:rsid w:val="00A809BA"/>
    <w:rsid w:val="00A81E19"/>
    <w:rsid w:val="00A8239A"/>
    <w:rsid w:val="00A82FC8"/>
    <w:rsid w:val="00AA3402"/>
    <w:rsid w:val="00AA5797"/>
    <w:rsid w:val="00AB169F"/>
    <w:rsid w:val="00AB795F"/>
    <w:rsid w:val="00AC52E6"/>
    <w:rsid w:val="00AC6312"/>
    <w:rsid w:val="00AC6B91"/>
    <w:rsid w:val="00AD4F0D"/>
    <w:rsid w:val="00AD6D80"/>
    <w:rsid w:val="00AE4CDC"/>
    <w:rsid w:val="00AE7644"/>
    <w:rsid w:val="00AF7373"/>
    <w:rsid w:val="00B02ADB"/>
    <w:rsid w:val="00B10F17"/>
    <w:rsid w:val="00B112B2"/>
    <w:rsid w:val="00B1160D"/>
    <w:rsid w:val="00B13AF2"/>
    <w:rsid w:val="00B13EE6"/>
    <w:rsid w:val="00B229EB"/>
    <w:rsid w:val="00B25427"/>
    <w:rsid w:val="00B25611"/>
    <w:rsid w:val="00B30FB9"/>
    <w:rsid w:val="00B3167E"/>
    <w:rsid w:val="00B32BE7"/>
    <w:rsid w:val="00B34842"/>
    <w:rsid w:val="00B34EE0"/>
    <w:rsid w:val="00B408E6"/>
    <w:rsid w:val="00B40F03"/>
    <w:rsid w:val="00B41222"/>
    <w:rsid w:val="00B444E6"/>
    <w:rsid w:val="00B456A4"/>
    <w:rsid w:val="00B470D9"/>
    <w:rsid w:val="00B5025C"/>
    <w:rsid w:val="00B52011"/>
    <w:rsid w:val="00B5325A"/>
    <w:rsid w:val="00B53EFF"/>
    <w:rsid w:val="00B540A3"/>
    <w:rsid w:val="00B54AFA"/>
    <w:rsid w:val="00B5572F"/>
    <w:rsid w:val="00B57688"/>
    <w:rsid w:val="00B64512"/>
    <w:rsid w:val="00B671A4"/>
    <w:rsid w:val="00B7434A"/>
    <w:rsid w:val="00B74501"/>
    <w:rsid w:val="00B804E8"/>
    <w:rsid w:val="00B87A3A"/>
    <w:rsid w:val="00B87CEC"/>
    <w:rsid w:val="00B908C3"/>
    <w:rsid w:val="00B9260B"/>
    <w:rsid w:val="00B92D48"/>
    <w:rsid w:val="00BA119B"/>
    <w:rsid w:val="00BA4F00"/>
    <w:rsid w:val="00BA5632"/>
    <w:rsid w:val="00BA6BF2"/>
    <w:rsid w:val="00BA75A8"/>
    <w:rsid w:val="00BB2573"/>
    <w:rsid w:val="00BC206C"/>
    <w:rsid w:val="00BC431A"/>
    <w:rsid w:val="00BC4417"/>
    <w:rsid w:val="00BC57ED"/>
    <w:rsid w:val="00BC7218"/>
    <w:rsid w:val="00BD0D18"/>
    <w:rsid w:val="00BD18C6"/>
    <w:rsid w:val="00BD59A2"/>
    <w:rsid w:val="00BE271D"/>
    <w:rsid w:val="00BE5779"/>
    <w:rsid w:val="00BE69C0"/>
    <w:rsid w:val="00BF66F0"/>
    <w:rsid w:val="00BF7111"/>
    <w:rsid w:val="00C01A35"/>
    <w:rsid w:val="00C02676"/>
    <w:rsid w:val="00C03772"/>
    <w:rsid w:val="00C0415E"/>
    <w:rsid w:val="00C04EDA"/>
    <w:rsid w:val="00C06207"/>
    <w:rsid w:val="00C1016C"/>
    <w:rsid w:val="00C113A5"/>
    <w:rsid w:val="00C119A2"/>
    <w:rsid w:val="00C13B82"/>
    <w:rsid w:val="00C175AB"/>
    <w:rsid w:val="00C25BEE"/>
    <w:rsid w:val="00C370EA"/>
    <w:rsid w:val="00C45EC4"/>
    <w:rsid w:val="00C5090A"/>
    <w:rsid w:val="00C539FB"/>
    <w:rsid w:val="00C54DE0"/>
    <w:rsid w:val="00C57267"/>
    <w:rsid w:val="00C62B63"/>
    <w:rsid w:val="00C63B93"/>
    <w:rsid w:val="00C7161E"/>
    <w:rsid w:val="00C72B5B"/>
    <w:rsid w:val="00C7460D"/>
    <w:rsid w:val="00C75CD9"/>
    <w:rsid w:val="00C76014"/>
    <w:rsid w:val="00C81638"/>
    <w:rsid w:val="00C848AE"/>
    <w:rsid w:val="00C87312"/>
    <w:rsid w:val="00C87D8F"/>
    <w:rsid w:val="00C972F6"/>
    <w:rsid w:val="00CA3B1C"/>
    <w:rsid w:val="00CA45B6"/>
    <w:rsid w:val="00CB0D93"/>
    <w:rsid w:val="00CB259F"/>
    <w:rsid w:val="00CC1A35"/>
    <w:rsid w:val="00CC2FD5"/>
    <w:rsid w:val="00CC330B"/>
    <w:rsid w:val="00CC376A"/>
    <w:rsid w:val="00CC7CEF"/>
    <w:rsid w:val="00CD50F5"/>
    <w:rsid w:val="00CD7D5D"/>
    <w:rsid w:val="00CE39F9"/>
    <w:rsid w:val="00CE3BD0"/>
    <w:rsid w:val="00CF0FC4"/>
    <w:rsid w:val="00CF4480"/>
    <w:rsid w:val="00CF6932"/>
    <w:rsid w:val="00CF749D"/>
    <w:rsid w:val="00CF7845"/>
    <w:rsid w:val="00D01FE3"/>
    <w:rsid w:val="00D028D5"/>
    <w:rsid w:val="00D032B0"/>
    <w:rsid w:val="00D04E80"/>
    <w:rsid w:val="00D05E4D"/>
    <w:rsid w:val="00D06CA3"/>
    <w:rsid w:val="00D07F46"/>
    <w:rsid w:val="00D11BD1"/>
    <w:rsid w:val="00D139C3"/>
    <w:rsid w:val="00D16E77"/>
    <w:rsid w:val="00D170E5"/>
    <w:rsid w:val="00D275A4"/>
    <w:rsid w:val="00D37F2F"/>
    <w:rsid w:val="00D4150E"/>
    <w:rsid w:val="00D415B9"/>
    <w:rsid w:val="00D42440"/>
    <w:rsid w:val="00D45F54"/>
    <w:rsid w:val="00D5108F"/>
    <w:rsid w:val="00D528E8"/>
    <w:rsid w:val="00D54D14"/>
    <w:rsid w:val="00D56EB3"/>
    <w:rsid w:val="00D65354"/>
    <w:rsid w:val="00D66E6E"/>
    <w:rsid w:val="00D67667"/>
    <w:rsid w:val="00D738DB"/>
    <w:rsid w:val="00D771D0"/>
    <w:rsid w:val="00D835CF"/>
    <w:rsid w:val="00D8595F"/>
    <w:rsid w:val="00D86C2F"/>
    <w:rsid w:val="00D90B52"/>
    <w:rsid w:val="00D92D0B"/>
    <w:rsid w:val="00D94AF0"/>
    <w:rsid w:val="00DA0036"/>
    <w:rsid w:val="00DA26FB"/>
    <w:rsid w:val="00DB0822"/>
    <w:rsid w:val="00DB4182"/>
    <w:rsid w:val="00DB6C3D"/>
    <w:rsid w:val="00DC113B"/>
    <w:rsid w:val="00DC1CD3"/>
    <w:rsid w:val="00DC5ACF"/>
    <w:rsid w:val="00DC5C17"/>
    <w:rsid w:val="00DC7FD5"/>
    <w:rsid w:val="00DD7468"/>
    <w:rsid w:val="00DD7634"/>
    <w:rsid w:val="00DE0209"/>
    <w:rsid w:val="00DE25E9"/>
    <w:rsid w:val="00DE53FC"/>
    <w:rsid w:val="00DE71D3"/>
    <w:rsid w:val="00DE72CF"/>
    <w:rsid w:val="00DE7F32"/>
    <w:rsid w:val="00DF08A0"/>
    <w:rsid w:val="00DF7052"/>
    <w:rsid w:val="00E00AC4"/>
    <w:rsid w:val="00E02F48"/>
    <w:rsid w:val="00E067B1"/>
    <w:rsid w:val="00E06903"/>
    <w:rsid w:val="00E166D2"/>
    <w:rsid w:val="00E23FA4"/>
    <w:rsid w:val="00E24E19"/>
    <w:rsid w:val="00E25B1F"/>
    <w:rsid w:val="00E25EF0"/>
    <w:rsid w:val="00E34B72"/>
    <w:rsid w:val="00E44678"/>
    <w:rsid w:val="00E521D9"/>
    <w:rsid w:val="00E6017D"/>
    <w:rsid w:val="00E65292"/>
    <w:rsid w:val="00E70760"/>
    <w:rsid w:val="00E70DA4"/>
    <w:rsid w:val="00E7679F"/>
    <w:rsid w:val="00E770D7"/>
    <w:rsid w:val="00E8071B"/>
    <w:rsid w:val="00E813C9"/>
    <w:rsid w:val="00E82AC6"/>
    <w:rsid w:val="00E85BFF"/>
    <w:rsid w:val="00E91CEC"/>
    <w:rsid w:val="00E9253C"/>
    <w:rsid w:val="00E95847"/>
    <w:rsid w:val="00EA20D8"/>
    <w:rsid w:val="00EA2A41"/>
    <w:rsid w:val="00EA2C3C"/>
    <w:rsid w:val="00EB45B5"/>
    <w:rsid w:val="00EB5E57"/>
    <w:rsid w:val="00EB61DB"/>
    <w:rsid w:val="00EC7F79"/>
    <w:rsid w:val="00ED0CB8"/>
    <w:rsid w:val="00ED1140"/>
    <w:rsid w:val="00ED1764"/>
    <w:rsid w:val="00ED3BAF"/>
    <w:rsid w:val="00ED4AFD"/>
    <w:rsid w:val="00ED5EBE"/>
    <w:rsid w:val="00EE40D3"/>
    <w:rsid w:val="00EE4FBE"/>
    <w:rsid w:val="00EF12D8"/>
    <w:rsid w:val="00EF42C5"/>
    <w:rsid w:val="00EF487C"/>
    <w:rsid w:val="00EF5BE4"/>
    <w:rsid w:val="00F10F47"/>
    <w:rsid w:val="00F30A4F"/>
    <w:rsid w:val="00F32EDE"/>
    <w:rsid w:val="00F41E43"/>
    <w:rsid w:val="00F4342B"/>
    <w:rsid w:val="00F5088A"/>
    <w:rsid w:val="00F5459F"/>
    <w:rsid w:val="00F5649A"/>
    <w:rsid w:val="00F67DC5"/>
    <w:rsid w:val="00F71369"/>
    <w:rsid w:val="00F81E64"/>
    <w:rsid w:val="00F82342"/>
    <w:rsid w:val="00F85808"/>
    <w:rsid w:val="00F877DB"/>
    <w:rsid w:val="00F90540"/>
    <w:rsid w:val="00F909A3"/>
    <w:rsid w:val="00F90D7F"/>
    <w:rsid w:val="00F91AE4"/>
    <w:rsid w:val="00F92EF4"/>
    <w:rsid w:val="00F93C8B"/>
    <w:rsid w:val="00F959DD"/>
    <w:rsid w:val="00F960D5"/>
    <w:rsid w:val="00FA0D8F"/>
    <w:rsid w:val="00FA532B"/>
    <w:rsid w:val="00FA55D8"/>
    <w:rsid w:val="00FA62F8"/>
    <w:rsid w:val="00FA6323"/>
    <w:rsid w:val="00FA7166"/>
    <w:rsid w:val="00FB1231"/>
    <w:rsid w:val="00FB4EE5"/>
    <w:rsid w:val="00FC0991"/>
    <w:rsid w:val="00FC1C5C"/>
    <w:rsid w:val="00FD09D4"/>
    <w:rsid w:val="00FD7FB9"/>
    <w:rsid w:val="00FE17E2"/>
    <w:rsid w:val="00FE4A77"/>
    <w:rsid w:val="00FE51AA"/>
    <w:rsid w:val="00FE6D7A"/>
    <w:rsid w:val="00FF0CA0"/>
    <w:rsid w:val="00FF3909"/>
    <w:rsid w:val="00FF6E4B"/>
    <w:rsid w:val="00FF7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FA31E00"/>
  <w15:docId w15:val="{7BCEB5CC-F247-4A34-B25D-2145F0B6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link w:val="ListParagraphChar"/>
    <w:uiPriority w:val="1"/>
    <w:qFormat/>
    <w:rsid w:val="00E70760"/>
    <w:pPr>
      <w:ind w:left="720"/>
    </w:pPr>
  </w:style>
  <w:style w:type="character" w:styleId="FollowedHyperlink">
    <w:name w:val="FollowedHyperlink"/>
    <w:rsid w:val="00C03772"/>
    <w:rPr>
      <w:color w:val="800080"/>
      <w:u w:val="single"/>
    </w:rPr>
  </w:style>
  <w:style w:type="character" w:customStyle="1" w:styleId="Heading2Char">
    <w:name w:val="Heading 2 Char"/>
    <w:link w:val="Heading2"/>
    <w:uiPriority w:val="9"/>
    <w:locked/>
    <w:rsid w:val="00DC7FD5"/>
    <w:rPr>
      <w:rFonts w:ascii="Arial" w:hAnsi="Arial" w:cs="Arial"/>
      <w:b/>
      <w:bCs/>
      <w:sz w:val="28"/>
      <w:szCs w:val="32"/>
      <w:lang w:eastAsia="en-US"/>
    </w:rPr>
  </w:style>
  <w:style w:type="paragraph" w:styleId="BalloonText">
    <w:name w:val="Balloon Text"/>
    <w:basedOn w:val="Normal"/>
    <w:link w:val="BalloonTextChar"/>
    <w:rsid w:val="005F4153"/>
    <w:rPr>
      <w:rFonts w:ascii="Tahoma" w:hAnsi="Tahoma" w:cs="Tahoma"/>
      <w:sz w:val="16"/>
      <w:szCs w:val="16"/>
    </w:rPr>
  </w:style>
  <w:style w:type="character" w:customStyle="1" w:styleId="BalloonTextChar">
    <w:name w:val="Balloon Text Char"/>
    <w:basedOn w:val="DefaultParagraphFont"/>
    <w:link w:val="BalloonText"/>
    <w:rsid w:val="005F4153"/>
    <w:rPr>
      <w:rFonts w:ascii="Tahoma" w:hAnsi="Tahoma" w:cs="Tahoma"/>
      <w:sz w:val="16"/>
      <w:szCs w:val="16"/>
      <w:lang w:eastAsia="en-US"/>
    </w:rPr>
  </w:style>
  <w:style w:type="character" w:styleId="CommentReference">
    <w:name w:val="annotation reference"/>
    <w:basedOn w:val="DefaultParagraphFont"/>
    <w:rsid w:val="000C2E54"/>
    <w:rPr>
      <w:sz w:val="16"/>
    </w:rPr>
  </w:style>
  <w:style w:type="paragraph" w:styleId="CommentText">
    <w:name w:val="annotation text"/>
    <w:basedOn w:val="Normal"/>
    <w:link w:val="CommentTextChar"/>
    <w:rsid w:val="000C2E54"/>
    <w:rPr>
      <w:sz w:val="20"/>
    </w:rPr>
  </w:style>
  <w:style w:type="character" w:customStyle="1" w:styleId="CommentTextChar">
    <w:name w:val="Comment Text Char"/>
    <w:basedOn w:val="DefaultParagraphFont"/>
    <w:link w:val="CommentText"/>
    <w:rsid w:val="000C2E54"/>
    <w:rPr>
      <w:rFonts w:ascii="Arial" w:hAnsi="Arial"/>
      <w:lang w:eastAsia="en-US"/>
    </w:rPr>
  </w:style>
  <w:style w:type="character" w:customStyle="1" w:styleId="ListParagraphChar">
    <w:name w:val="List Paragraph Char"/>
    <w:link w:val="ListParagraph"/>
    <w:uiPriority w:val="34"/>
    <w:rsid w:val="00DC113B"/>
    <w:rPr>
      <w:rFonts w:ascii="Arial" w:hAnsi="Arial"/>
      <w:sz w:val="24"/>
      <w:lang w:eastAsia="en-US"/>
    </w:rPr>
  </w:style>
  <w:style w:type="paragraph" w:customStyle="1" w:styleId="Default">
    <w:name w:val="Default"/>
    <w:rsid w:val="00B470D9"/>
    <w:pPr>
      <w:autoSpaceDE w:val="0"/>
      <w:autoSpaceDN w:val="0"/>
      <w:adjustRightInd w:val="0"/>
    </w:pPr>
    <w:rPr>
      <w:rFonts w:ascii="Arial" w:hAnsi="Arial" w:cs="Arial"/>
      <w:color w:val="000000"/>
      <w:sz w:val="24"/>
      <w:szCs w:val="24"/>
    </w:rPr>
  </w:style>
  <w:style w:type="paragraph" w:styleId="NoSpacing">
    <w:name w:val="No Spacing"/>
    <w:uiPriority w:val="1"/>
    <w:qFormat/>
    <w:rsid w:val="00B470D9"/>
    <w:rPr>
      <w:rFonts w:ascii="Calibri" w:hAnsi="Calibri"/>
      <w:sz w:val="22"/>
      <w:szCs w:val="22"/>
    </w:rPr>
  </w:style>
  <w:style w:type="table" w:customStyle="1" w:styleId="Style1">
    <w:name w:val="Style1"/>
    <w:basedOn w:val="TableNormal"/>
    <w:uiPriority w:val="99"/>
    <w:rsid w:val="00656F61"/>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656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47786721">
      <w:bodyDiv w:val="1"/>
      <w:marLeft w:val="0"/>
      <w:marRight w:val="0"/>
      <w:marTop w:val="0"/>
      <w:marBottom w:val="0"/>
      <w:divBdr>
        <w:top w:val="none" w:sz="0" w:space="0" w:color="auto"/>
        <w:left w:val="none" w:sz="0" w:space="0" w:color="auto"/>
        <w:bottom w:val="none" w:sz="0" w:space="0" w:color="auto"/>
        <w:right w:val="none" w:sz="0" w:space="0" w:color="auto"/>
      </w:divBdr>
    </w:div>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47210544">
      <w:bodyDiv w:val="1"/>
      <w:marLeft w:val="0"/>
      <w:marRight w:val="0"/>
      <w:marTop w:val="0"/>
      <w:marBottom w:val="0"/>
      <w:divBdr>
        <w:top w:val="none" w:sz="0" w:space="0" w:color="auto"/>
        <w:left w:val="none" w:sz="0" w:space="0" w:color="auto"/>
        <w:bottom w:val="none" w:sz="0" w:space="0" w:color="auto"/>
        <w:right w:val="none" w:sz="0" w:space="0" w:color="auto"/>
      </w:divBdr>
    </w:div>
    <w:div w:id="1417092741">
      <w:bodyDiv w:val="1"/>
      <w:marLeft w:val="0"/>
      <w:marRight w:val="0"/>
      <w:marTop w:val="0"/>
      <w:marBottom w:val="0"/>
      <w:divBdr>
        <w:top w:val="none" w:sz="0" w:space="0" w:color="auto"/>
        <w:left w:val="none" w:sz="0" w:space="0" w:color="auto"/>
        <w:bottom w:val="none" w:sz="0" w:space="0" w:color="auto"/>
        <w:right w:val="none" w:sz="0" w:space="0" w:color="auto"/>
      </w:divBdr>
    </w:div>
    <w:div w:id="1468474125">
      <w:bodyDiv w:val="1"/>
      <w:marLeft w:val="0"/>
      <w:marRight w:val="0"/>
      <w:marTop w:val="0"/>
      <w:marBottom w:val="0"/>
      <w:divBdr>
        <w:top w:val="none" w:sz="0" w:space="0" w:color="auto"/>
        <w:left w:val="none" w:sz="0" w:space="0" w:color="auto"/>
        <w:bottom w:val="none" w:sz="0" w:space="0" w:color="auto"/>
        <w:right w:val="none" w:sz="0" w:space="0" w:color="auto"/>
      </w:divBdr>
    </w:div>
    <w:div w:id="200901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overnment/publications/covid-19-additional-relief-fund-carf-local-authority-guidanc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ern.silverio@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00000000-0000-0000-0000-000000000000</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4.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b11bda97-64e7-4000-91fd-dcaad77bf85d" ContentTypeId="0x0101000226E4B75CFA47B488D2CEFE4DCFDD64AD" PreviousValue="false"/>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54c1341a-f0b2-450a-9883-97eea039321e"/>
  </ds:schemaRefs>
</ds:datastoreItem>
</file>

<file path=customXml/itemProps4.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8A5AB3-2B7F-4505-AFDA-F8928F3714E8}">
  <ds:schemaRefs>
    <ds:schemaRef ds:uri="http://schemas.openxmlformats.org/officeDocument/2006/bibliography"/>
  </ds:schemaRefs>
</ds:datastoreItem>
</file>

<file path=customXml/itemProps6.xml><?xml version="1.0" encoding="utf-8"?>
<ds:datastoreItem xmlns:ds="http://schemas.openxmlformats.org/officeDocument/2006/customXml" ds:itemID="{5F57FBA5-F6EB-4B7D-81F3-0D8490A9019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2292</Words>
  <Characters>12807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15069</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3</cp:revision>
  <cp:lastPrinted>2014-10-31T16:34:00Z</cp:lastPrinted>
  <dcterms:created xsi:type="dcterms:W3CDTF">2022-06-14T09:33:00Z</dcterms:created>
  <dcterms:modified xsi:type="dcterms:W3CDTF">2022-06-14T17:02:00Z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